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CC00" w14:textId="2EF35759" w:rsidR="00BB16A0" w:rsidRDefault="00B7787A" w:rsidP="00BB16A0">
      <w:r>
        <w:rPr>
          <w:noProof/>
        </w:rPr>
        <w:drawing>
          <wp:inline distT="0" distB="0" distL="0" distR="0" wp14:anchorId="486ABB70" wp14:editId="41A583D1">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p>
    <w:p w14:paraId="61AFC116" w14:textId="77777777" w:rsidR="00BB16A0" w:rsidRDefault="00BB16A0" w:rsidP="00BB16A0">
      <w:pPr>
        <w:jc w:val="center"/>
        <w:rPr>
          <w:rFonts w:ascii="Verdana" w:hAnsi="Verdana"/>
          <w:b/>
          <w:bCs/>
          <w:sz w:val="32"/>
          <w:szCs w:val="32"/>
        </w:rPr>
      </w:pPr>
    </w:p>
    <w:p w14:paraId="727EA82C" w14:textId="6492C762" w:rsidR="000D4D3A" w:rsidRPr="000D4D3A" w:rsidRDefault="00CB6AAC" w:rsidP="00E57E7E">
      <w:pPr>
        <w:jc w:val="center"/>
        <w:rPr>
          <w:rFonts w:cs="Arial"/>
          <w:b/>
          <w:bCs/>
          <w:color w:val="31849B"/>
          <w:sz w:val="40"/>
          <w:szCs w:val="40"/>
        </w:rPr>
      </w:pPr>
      <w:r>
        <w:rPr>
          <w:rFonts w:cs="Arial"/>
          <w:b/>
          <w:bCs/>
          <w:color w:val="31849B"/>
          <w:sz w:val="40"/>
          <w:szCs w:val="40"/>
        </w:rPr>
        <w:t>Teddington Direct River Abstraction (TDRA)</w:t>
      </w:r>
    </w:p>
    <w:p w14:paraId="5905720D" w14:textId="000694CD" w:rsidR="00BB16A0" w:rsidRPr="007B5E30" w:rsidRDefault="00BB16A0" w:rsidP="00BB16A0">
      <w:pPr>
        <w:jc w:val="center"/>
        <w:rPr>
          <w:rFonts w:eastAsia="Times New Roman" w:cs="Arial"/>
          <w:b/>
          <w:bCs/>
          <w:color w:val="31849B"/>
          <w:sz w:val="40"/>
          <w:szCs w:val="40"/>
          <w:lang w:eastAsia="en-GB"/>
        </w:rPr>
      </w:pPr>
    </w:p>
    <w:p w14:paraId="40F54074" w14:textId="77777777" w:rsidR="00BB16A0" w:rsidRPr="000A6FE9" w:rsidRDefault="00BB16A0" w:rsidP="00BB16A0">
      <w:pPr>
        <w:jc w:val="center"/>
        <w:rPr>
          <w:rFonts w:cs="Arial"/>
          <w:b/>
          <w:bCs/>
          <w:color w:val="31849B"/>
          <w:sz w:val="40"/>
          <w:szCs w:val="40"/>
        </w:rPr>
      </w:pPr>
      <w:r>
        <w:rPr>
          <w:rFonts w:cs="Arial"/>
          <w:b/>
          <w:bCs/>
          <w:color w:val="31849B"/>
          <w:sz w:val="40"/>
          <w:szCs w:val="40"/>
        </w:rPr>
        <w:t>Section 51 Advice Log</w:t>
      </w:r>
    </w:p>
    <w:p w14:paraId="4CA3164B" w14:textId="3A0B2653" w:rsidR="00BB16A0" w:rsidRDefault="00BB16A0" w:rsidP="7B7DE1C2">
      <w:pPr>
        <w:jc w:val="center"/>
        <w:rPr>
          <w:rFonts w:cs="Arial"/>
          <w:b/>
          <w:bCs/>
          <w:color w:val="31849B"/>
          <w:sz w:val="40"/>
          <w:szCs w:val="40"/>
          <w:highlight w:val="yellow"/>
        </w:rPr>
      </w:pPr>
      <w:r w:rsidRPr="7B7DE1C2">
        <w:rPr>
          <w:rFonts w:cs="Arial"/>
          <w:b/>
          <w:bCs/>
          <w:color w:val="31849B"/>
          <w:sz w:val="40"/>
          <w:szCs w:val="40"/>
        </w:rPr>
        <w:t>Version:</w:t>
      </w:r>
      <w:r w:rsidR="00132C27">
        <w:rPr>
          <w:rFonts w:cs="Arial"/>
          <w:b/>
          <w:bCs/>
          <w:color w:val="31849B"/>
          <w:sz w:val="40"/>
          <w:szCs w:val="40"/>
        </w:rPr>
        <w:t xml:space="preserve"> 28</w:t>
      </w:r>
      <w:r w:rsidRPr="2DECB552">
        <w:rPr>
          <w:rFonts w:cs="Arial"/>
          <w:b/>
          <w:color w:val="31849B"/>
          <w:sz w:val="40"/>
          <w:szCs w:val="40"/>
        </w:rPr>
        <w:t xml:space="preserve"> </w:t>
      </w:r>
      <w:r w:rsidR="0034487C">
        <w:rPr>
          <w:rFonts w:cs="Arial"/>
          <w:b/>
          <w:color w:val="31849B"/>
          <w:sz w:val="40"/>
          <w:szCs w:val="40"/>
        </w:rPr>
        <w:t>October</w:t>
      </w:r>
      <w:r w:rsidR="2EF38F32" w:rsidRPr="2DECB552">
        <w:rPr>
          <w:rFonts w:cs="Arial"/>
          <w:b/>
          <w:color w:val="31849B"/>
          <w:sz w:val="40"/>
          <w:szCs w:val="40"/>
        </w:rPr>
        <w:t xml:space="preserve"> 2025</w:t>
      </w:r>
    </w:p>
    <w:p w14:paraId="41634D81" w14:textId="77777777" w:rsidR="00BB16A0" w:rsidRDefault="00BB16A0" w:rsidP="00BB16A0">
      <w:pPr>
        <w:jc w:val="center"/>
        <w:rPr>
          <w:rFonts w:ascii="Verdana" w:hAnsi="Verdana"/>
          <w:b/>
          <w:bCs/>
          <w:sz w:val="32"/>
          <w:szCs w:val="32"/>
        </w:rPr>
      </w:pPr>
    </w:p>
    <w:p w14:paraId="19A1272E" w14:textId="77777777" w:rsidR="00BB16A0" w:rsidRDefault="00BB16A0" w:rsidP="00BB16A0">
      <w:pPr>
        <w:jc w:val="center"/>
        <w:rPr>
          <w:rFonts w:ascii="Verdana" w:hAnsi="Verdana"/>
          <w:b/>
          <w:bCs/>
          <w:sz w:val="32"/>
          <w:szCs w:val="32"/>
        </w:rPr>
      </w:pPr>
    </w:p>
    <w:p w14:paraId="5668D6F7" w14:textId="755BBD3D" w:rsidR="00BB16A0" w:rsidRDefault="00BB16A0" w:rsidP="00BB16A0">
      <w:pPr>
        <w:rPr>
          <w:rFonts w:cs="Arial"/>
          <w:szCs w:val="24"/>
        </w:rPr>
      </w:pPr>
      <w:r w:rsidRPr="00295549">
        <w:rPr>
          <w:rFonts w:cs="Arial"/>
          <w:szCs w:val="24"/>
        </w:rPr>
        <w:t xml:space="preserve">There is a statutory duty under </w:t>
      </w:r>
      <w:hyperlink r:id="rId12" w:history="1">
        <w:r w:rsidR="00CA526C">
          <w:rPr>
            <w:rStyle w:val="Hyperlink"/>
            <w:rFonts w:cs="Arial"/>
            <w:szCs w:val="24"/>
          </w:rPr>
          <w:t>'section 51 (s51) of the Planning Act 2008'</w:t>
        </w:r>
      </w:hyperlink>
      <w:r w:rsidRPr="00295549">
        <w:rPr>
          <w:rFonts w:cs="Arial"/>
          <w:szCs w:val="24"/>
        </w:rPr>
        <w:t xml:space="preserve"> </w:t>
      </w:r>
      <w:r>
        <w:rPr>
          <w:rFonts w:cs="Arial"/>
          <w:szCs w:val="24"/>
        </w:rPr>
        <w:t xml:space="preserve">for </w:t>
      </w:r>
      <w:r w:rsidR="00CA526C">
        <w:rPr>
          <w:rFonts w:cs="Arial"/>
          <w:szCs w:val="24"/>
        </w:rPr>
        <w:t>T</w:t>
      </w:r>
      <w:r>
        <w:rPr>
          <w:rFonts w:cs="Arial"/>
          <w:szCs w:val="24"/>
        </w:rPr>
        <w:t xml:space="preserve">he Planning Inspectorate </w:t>
      </w:r>
      <w:r w:rsidRPr="00295549">
        <w:rPr>
          <w:rFonts w:cs="Arial"/>
          <w:szCs w:val="24"/>
        </w:rPr>
        <w:t xml:space="preserve">to record the advice that </w:t>
      </w:r>
      <w:r>
        <w:rPr>
          <w:rFonts w:cs="Arial"/>
          <w:szCs w:val="24"/>
        </w:rPr>
        <w:t>it gives</w:t>
      </w:r>
      <w:r w:rsidRPr="00295549">
        <w:rPr>
          <w:rFonts w:cs="Arial"/>
          <w:szCs w:val="24"/>
        </w:rPr>
        <w:t xml:space="preserve"> in relation to an application or potential application</w:t>
      </w:r>
      <w:r>
        <w:rPr>
          <w:rFonts w:cs="Arial"/>
          <w:szCs w:val="24"/>
        </w:rPr>
        <w:t>,</w:t>
      </w:r>
      <w:r w:rsidRPr="00295549">
        <w:rPr>
          <w:rFonts w:cs="Arial"/>
          <w:szCs w:val="24"/>
        </w:rPr>
        <w:t xml:space="preserve"> and to make this publicly available.</w:t>
      </w:r>
    </w:p>
    <w:p w14:paraId="59D78571" w14:textId="77777777" w:rsidR="00682386" w:rsidRDefault="00682386" w:rsidP="00BB16A0">
      <w:pPr>
        <w:rPr>
          <w:rFonts w:cs="Arial"/>
          <w:szCs w:val="24"/>
        </w:rPr>
      </w:pPr>
    </w:p>
    <w:p w14:paraId="0F0BB7F8" w14:textId="7AC483F2" w:rsidR="00BB16A0" w:rsidRDefault="00BB16A0" w:rsidP="00BB16A0">
      <w:pPr>
        <w:rPr>
          <w:rFonts w:cs="Arial"/>
          <w:szCs w:val="24"/>
        </w:rPr>
      </w:pPr>
      <w:r w:rsidRPr="248F54F4">
        <w:rPr>
          <w:rFonts w:cs="Arial"/>
          <w:szCs w:val="24"/>
        </w:rPr>
        <w:t>This document c</w:t>
      </w:r>
      <w:r>
        <w:rPr>
          <w:rFonts w:cs="Arial"/>
          <w:szCs w:val="24"/>
        </w:rPr>
        <w:t>omprises a record of</w:t>
      </w:r>
      <w:r w:rsidRPr="248F54F4">
        <w:rPr>
          <w:rFonts w:cs="Arial"/>
          <w:szCs w:val="24"/>
        </w:rPr>
        <w:t xml:space="preserve"> the advice that has been provided by </w:t>
      </w:r>
      <w:r w:rsidR="00C01E74">
        <w:rPr>
          <w:rFonts w:cs="Arial"/>
          <w:szCs w:val="24"/>
        </w:rPr>
        <w:t>T</w:t>
      </w:r>
      <w:r w:rsidRPr="248F54F4">
        <w:rPr>
          <w:rFonts w:cs="Arial"/>
          <w:szCs w:val="24"/>
        </w:rPr>
        <w:t>he</w:t>
      </w:r>
      <w:r w:rsidR="00D713D3">
        <w:rPr>
          <w:rFonts w:cs="Arial"/>
          <w:szCs w:val="24"/>
        </w:rPr>
        <w:t xml:space="preserve"> Planning</w:t>
      </w:r>
      <w:r w:rsidRPr="248F54F4">
        <w:rPr>
          <w:rFonts w:cs="Arial"/>
          <w:szCs w:val="24"/>
        </w:rPr>
        <w:t xml:space="preserve"> Inspectorate </w:t>
      </w:r>
      <w:r>
        <w:rPr>
          <w:rFonts w:cs="Arial"/>
          <w:szCs w:val="24"/>
        </w:rPr>
        <w:t>to</w:t>
      </w:r>
      <w:r w:rsidRPr="248F54F4">
        <w:rPr>
          <w:rFonts w:cs="Arial"/>
          <w:szCs w:val="24"/>
        </w:rPr>
        <w:t xml:space="preserve"> the applicant </w:t>
      </w:r>
      <w:r w:rsidR="00CB6AAC" w:rsidRPr="00CB6AAC">
        <w:rPr>
          <w:rFonts w:cs="Arial"/>
          <w:szCs w:val="24"/>
        </w:rPr>
        <w:t>Thames Water Utilities Limited</w:t>
      </w:r>
      <w:r w:rsidR="00CB6AAC">
        <w:rPr>
          <w:rFonts w:cs="Arial"/>
          <w:szCs w:val="24"/>
        </w:rPr>
        <w:t xml:space="preserve"> </w:t>
      </w:r>
      <w:r w:rsidRPr="248F54F4">
        <w:rPr>
          <w:rFonts w:cs="Arial"/>
          <w:szCs w:val="24"/>
        </w:rPr>
        <w:t xml:space="preserve">and </w:t>
      </w:r>
      <w:r>
        <w:rPr>
          <w:rFonts w:cs="Arial"/>
          <w:szCs w:val="24"/>
        </w:rPr>
        <w:t>their</w:t>
      </w:r>
      <w:r w:rsidRPr="248F54F4">
        <w:rPr>
          <w:rFonts w:cs="Arial"/>
          <w:szCs w:val="24"/>
        </w:rPr>
        <w:t xml:space="preserve"> consultants</w:t>
      </w:r>
      <w:r>
        <w:rPr>
          <w:rFonts w:cs="Arial"/>
          <w:szCs w:val="24"/>
        </w:rPr>
        <w:t xml:space="preserve"> during the pre-application stage</w:t>
      </w:r>
      <w:r w:rsidR="00D713D3">
        <w:rPr>
          <w:rFonts w:cs="Arial"/>
          <w:szCs w:val="24"/>
        </w:rPr>
        <w:t xml:space="preserve">. </w:t>
      </w:r>
      <w:r>
        <w:rPr>
          <w:rFonts w:cs="Arial"/>
          <w:szCs w:val="24"/>
        </w:rPr>
        <w:t xml:space="preserve">It will be updated by </w:t>
      </w:r>
      <w:r w:rsidR="00C01E74">
        <w:rPr>
          <w:rFonts w:cs="Arial"/>
          <w:szCs w:val="24"/>
        </w:rPr>
        <w:t>T</w:t>
      </w:r>
      <w:r>
        <w:rPr>
          <w:rFonts w:cs="Arial"/>
          <w:szCs w:val="24"/>
        </w:rPr>
        <w:t xml:space="preserve">he </w:t>
      </w:r>
      <w:r w:rsidR="00D713D3">
        <w:rPr>
          <w:rFonts w:cs="Arial"/>
          <w:szCs w:val="24"/>
        </w:rPr>
        <w:t xml:space="preserve">Planning </w:t>
      </w:r>
      <w:r>
        <w:rPr>
          <w:rFonts w:cs="Arial"/>
          <w:szCs w:val="24"/>
        </w:rPr>
        <w:t xml:space="preserve">Inspectorate after every interaction with the applicant during which s51 has been provided. The applicant will always be given the opportunity to comment on </w:t>
      </w:r>
      <w:r w:rsidR="00C01E74">
        <w:rPr>
          <w:rFonts w:cs="Arial"/>
          <w:szCs w:val="24"/>
        </w:rPr>
        <w:t>T</w:t>
      </w:r>
      <w:r>
        <w:rPr>
          <w:rFonts w:cs="Arial"/>
          <w:szCs w:val="24"/>
        </w:rPr>
        <w:t xml:space="preserve">he </w:t>
      </w:r>
      <w:r w:rsidR="00842083">
        <w:rPr>
          <w:rFonts w:cs="Arial"/>
          <w:szCs w:val="24"/>
        </w:rPr>
        <w:t xml:space="preserve">Planning </w:t>
      </w:r>
      <w:r>
        <w:rPr>
          <w:rFonts w:cs="Arial"/>
          <w:szCs w:val="24"/>
        </w:rPr>
        <w:t xml:space="preserve">Inspectorate’s draft record of advice before it is published. </w:t>
      </w:r>
    </w:p>
    <w:p w14:paraId="458E952D" w14:textId="77777777" w:rsidR="00682386" w:rsidRPr="00295549" w:rsidRDefault="00682386" w:rsidP="00BB16A0">
      <w:pPr>
        <w:rPr>
          <w:rFonts w:cs="Arial"/>
          <w:szCs w:val="24"/>
        </w:rPr>
      </w:pPr>
    </w:p>
    <w:p w14:paraId="4F9D70B2" w14:textId="4BDD529D" w:rsidR="00BB16A0" w:rsidRPr="001507A6" w:rsidRDefault="00BB16A0" w:rsidP="00BB16A0">
      <w:pPr>
        <w:rPr>
          <w:rFonts w:cs="Arial"/>
          <w:szCs w:val="24"/>
        </w:rPr>
      </w:pPr>
      <w:r w:rsidRPr="001507A6">
        <w:rPr>
          <w:rFonts w:cs="Arial"/>
          <w:color w:val="0B0C0C"/>
          <w:szCs w:val="24"/>
          <w:shd w:val="clear" w:color="auto" w:fill="FFFFFF"/>
        </w:rPr>
        <w:t xml:space="preserve">The applicant will use this </w:t>
      </w:r>
      <w:r w:rsidR="00842083">
        <w:rPr>
          <w:rFonts w:cs="Arial"/>
          <w:color w:val="0B0C0C"/>
          <w:szCs w:val="24"/>
          <w:shd w:val="clear" w:color="auto" w:fill="FFFFFF"/>
        </w:rPr>
        <w:t>a</w:t>
      </w:r>
      <w:r w:rsidRPr="001507A6">
        <w:rPr>
          <w:rFonts w:cs="Arial"/>
          <w:color w:val="0B0C0C"/>
          <w:szCs w:val="24"/>
          <w:shd w:val="clear" w:color="auto" w:fill="FFFFFF"/>
        </w:rPr>
        <w:t xml:space="preserve">dvice </w:t>
      </w:r>
      <w:r w:rsidR="00842083">
        <w:rPr>
          <w:rFonts w:cs="Arial"/>
          <w:color w:val="0B0C0C"/>
          <w:szCs w:val="24"/>
          <w:shd w:val="clear" w:color="auto" w:fill="FFFFFF"/>
        </w:rPr>
        <w:t>l</w:t>
      </w:r>
      <w:r w:rsidRPr="001507A6">
        <w:rPr>
          <w:rFonts w:cs="Arial"/>
          <w:color w:val="0B0C0C"/>
          <w:szCs w:val="24"/>
          <w:shd w:val="clear" w:color="auto" w:fill="FFFFFF"/>
        </w:rPr>
        <w:t xml:space="preserve">og as the basis for demonstrating regard to </w:t>
      </w:r>
      <w:r w:rsidR="00842083">
        <w:rPr>
          <w:rFonts w:cs="Arial"/>
          <w:color w:val="0B0C0C"/>
          <w:szCs w:val="24"/>
          <w:shd w:val="clear" w:color="auto" w:fill="FFFFFF"/>
        </w:rPr>
        <w:t>s</w:t>
      </w:r>
      <w:r w:rsidRPr="001507A6">
        <w:rPr>
          <w:rFonts w:cs="Arial"/>
          <w:color w:val="0B0C0C"/>
          <w:szCs w:val="24"/>
          <w:shd w:val="clear" w:color="auto" w:fill="FFFFFF"/>
        </w:rPr>
        <w:t>51 advice within the application.</w:t>
      </w:r>
    </w:p>
    <w:p w14:paraId="65F94111" w14:textId="77777777" w:rsidR="00BB16A0" w:rsidRPr="00295549" w:rsidRDefault="00BB16A0" w:rsidP="00BB16A0">
      <w:pPr>
        <w:rPr>
          <w:rFonts w:cs="Arial"/>
          <w:szCs w:val="24"/>
        </w:rPr>
      </w:pPr>
    </w:p>
    <w:p w14:paraId="2642124D" w14:textId="77777777" w:rsidR="00BB16A0" w:rsidRPr="00295549" w:rsidRDefault="00BB16A0" w:rsidP="00BB16A0">
      <w:pPr>
        <w:rPr>
          <w:rFonts w:cs="Arial"/>
          <w:szCs w:val="24"/>
        </w:rPr>
      </w:pPr>
    </w:p>
    <w:p w14:paraId="4FC4E7BE" w14:textId="77777777" w:rsidR="00BB16A0" w:rsidRPr="00295549" w:rsidRDefault="00BB16A0" w:rsidP="00BB16A0">
      <w:pPr>
        <w:rPr>
          <w:rFonts w:cs="Arial"/>
          <w:szCs w:val="24"/>
        </w:rPr>
      </w:pPr>
    </w:p>
    <w:p w14:paraId="4FFB40B6" w14:textId="77777777" w:rsidR="00BB16A0" w:rsidRPr="00295549" w:rsidRDefault="00BB16A0" w:rsidP="00BB16A0">
      <w:pPr>
        <w:rPr>
          <w:rFonts w:cs="Arial"/>
          <w:szCs w:val="24"/>
        </w:rPr>
      </w:pPr>
    </w:p>
    <w:p w14:paraId="74EE540A" w14:textId="77777777" w:rsidR="00BB16A0" w:rsidRPr="00295549" w:rsidRDefault="00BB16A0" w:rsidP="00BB16A0">
      <w:pPr>
        <w:rPr>
          <w:rFonts w:cs="Arial"/>
          <w:szCs w:val="24"/>
        </w:rPr>
      </w:pPr>
    </w:p>
    <w:p w14:paraId="761B003C" w14:textId="77777777" w:rsidR="00BB16A0" w:rsidRPr="00295549" w:rsidRDefault="00BB16A0" w:rsidP="00BB16A0">
      <w:pPr>
        <w:rPr>
          <w:rFonts w:cs="Arial"/>
          <w:szCs w:val="24"/>
        </w:rPr>
      </w:pPr>
    </w:p>
    <w:p w14:paraId="04E500B3" w14:textId="77777777" w:rsidR="00BB16A0" w:rsidRPr="00295549" w:rsidRDefault="00BB16A0" w:rsidP="00BB16A0">
      <w:pPr>
        <w:rPr>
          <w:rFonts w:cs="Arial"/>
          <w:szCs w:val="24"/>
        </w:rPr>
      </w:pPr>
    </w:p>
    <w:p w14:paraId="60589317" w14:textId="77777777" w:rsidR="00BB16A0" w:rsidRPr="00295549" w:rsidRDefault="00BB16A0" w:rsidP="00BB16A0">
      <w:pPr>
        <w:rPr>
          <w:rFonts w:cs="Arial"/>
          <w:szCs w:val="24"/>
        </w:rPr>
      </w:pPr>
    </w:p>
    <w:p w14:paraId="410FBECF" w14:textId="77777777" w:rsidR="00BB16A0" w:rsidRDefault="00BB16A0" w:rsidP="00BB16A0">
      <w:pPr>
        <w:rPr>
          <w:rFonts w:cs="Arial"/>
          <w:szCs w:val="24"/>
        </w:rPr>
      </w:pPr>
    </w:p>
    <w:p w14:paraId="1417E2CB" w14:textId="77777777" w:rsidR="00BB16A0" w:rsidRDefault="00BB16A0" w:rsidP="00BB16A0">
      <w:pPr>
        <w:rPr>
          <w:rFonts w:cs="Arial"/>
          <w:szCs w:val="24"/>
        </w:rPr>
      </w:pPr>
      <w:r>
        <w:rPr>
          <w:rFonts w:cs="Arial"/>
          <w:szCs w:val="24"/>
        </w:rPr>
        <w:br w:type="page"/>
      </w:r>
    </w:p>
    <w:p w14:paraId="7364462E" w14:textId="77777777" w:rsidR="00BB16A0" w:rsidRPr="00295549" w:rsidRDefault="00BB16A0" w:rsidP="00BB16A0">
      <w:pPr>
        <w:rPr>
          <w:rFonts w:cs="Arial"/>
          <w:szCs w:val="24"/>
        </w:rPr>
      </w:pPr>
    </w:p>
    <w:tbl>
      <w:tblPr>
        <w:tblStyle w:val="TableGrid"/>
        <w:tblW w:w="0" w:type="auto"/>
        <w:tblCellMar>
          <w:top w:w="57" w:type="dxa"/>
          <w:bottom w:w="57" w:type="dxa"/>
        </w:tblCellMar>
        <w:tblLook w:val="04A0" w:firstRow="1" w:lastRow="0" w:firstColumn="1" w:lastColumn="0" w:noHBand="0" w:noVBand="1"/>
      </w:tblPr>
      <w:tblGrid>
        <w:gridCol w:w="3539"/>
        <w:gridCol w:w="5477"/>
      </w:tblGrid>
      <w:tr w:rsidR="00BB16A0" w14:paraId="2CC4E9F6" w14:textId="77777777" w:rsidTr="69EDBA08">
        <w:tc>
          <w:tcPr>
            <w:tcW w:w="3539" w:type="dxa"/>
            <w:shd w:val="clear" w:color="auto" w:fill="074745"/>
          </w:tcPr>
          <w:p w14:paraId="71664A10" w14:textId="118E671E" w:rsidR="00BB16A0" w:rsidRDefault="3CFF3608" w:rsidP="3C34C18A">
            <w:pPr>
              <w:spacing w:before="120" w:after="120"/>
              <w:rPr>
                <w:rFonts w:cs="Arial"/>
                <w:b/>
                <w:bCs/>
                <w:color w:val="FFFFFF" w:themeColor="background1"/>
              </w:rPr>
            </w:pPr>
            <w:r w:rsidRPr="3C34C18A">
              <w:rPr>
                <w:rFonts w:cs="Arial"/>
                <w:b/>
                <w:bCs/>
                <w:color w:val="FFFFFF" w:themeColor="background1"/>
              </w:rPr>
              <w:t>Teddington Direct River Abstraction</w:t>
            </w:r>
            <w:r w:rsidR="040A06A2" w:rsidRPr="3C34C18A">
              <w:rPr>
                <w:rFonts w:cs="Arial"/>
                <w:b/>
                <w:bCs/>
                <w:color w:val="FFFFFF" w:themeColor="background1"/>
              </w:rPr>
              <w:t xml:space="preserve"> (TDRA)</w:t>
            </w:r>
          </w:p>
          <w:p w14:paraId="41E11ECA" w14:textId="77777777" w:rsidR="00BB16A0" w:rsidRPr="00295549" w:rsidRDefault="00BB16A0" w:rsidP="00E57E7E">
            <w:pPr>
              <w:spacing w:before="120" w:after="120"/>
              <w:rPr>
                <w:rFonts w:cs="Arial"/>
                <w:szCs w:val="24"/>
              </w:rPr>
            </w:pPr>
            <w:r w:rsidRPr="00295549">
              <w:rPr>
                <w:rFonts w:cs="Arial"/>
                <w:b/>
                <w:bCs/>
                <w:szCs w:val="24"/>
              </w:rPr>
              <w:t>s51 Advice L</w:t>
            </w:r>
            <w:r>
              <w:rPr>
                <w:rFonts w:cs="Arial"/>
                <w:b/>
                <w:bCs/>
                <w:szCs w:val="24"/>
              </w:rPr>
              <w:t>og</w:t>
            </w:r>
            <w:r w:rsidRPr="00295549">
              <w:rPr>
                <w:rFonts w:cs="Arial"/>
                <w:b/>
                <w:bCs/>
                <w:szCs w:val="24"/>
              </w:rPr>
              <w:t xml:space="preserve"> - Index</w:t>
            </w:r>
          </w:p>
        </w:tc>
        <w:tc>
          <w:tcPr>
            <w:tcW w:w="5477" w:type="dxa"/>
            <w:shd w:val="clear" w:color="auto" w:fill="074745"/>
          </w:tcPr>
          <w:p w14:paraId="7466F4A9" w14:textId="469CCA89" w:rsidR="00BB16A0" w:rsidRPr="00295549" w:rsidRDefault="00BB16A0" w:rsidP="00E57E7E">
            <w:pPr>
              <w:spacing w:before="120" w:after="120"/>
              <w:rPr>
                <w:rFonts w:cs="Arial"/>
                <w:b/>
                <w:bCs/>
                <w:szCs w:val="24"/>
              </w:rPr>
            </w:pPr>
          </w:p>
        </w:tc>
      </w:tr>
      <w:tr w:rsidR="00BB16A0" w14:paraId="6C95FE93" w14:textId="77777777" w:rsidTr="69EDBA08">
        <w:trPr>
          <w:trHeight w:val="615"/>
        </w:trPr>
        <w:tc>
          <w:tcPr>
            <w:tcW w:w="3539" w:type="dxa"/>
            <w:shd w:val="clear" w:color="auto" w:fill="00958F"/>
          </w:tcPr>
          <w:p w14:paraId="195051DE" w14:textId="77777777" w:rsidR="00BB16A0" w:rsidRPr="00295549" w:rsidRDefault="00BB16A0" w:rsidP="00E57E7E">
            <w:pPr>
              <w:spacing w:before="120" w:after="120"/>
              <w:rPr>
                <w:rFonts w:cs="Arial"/>
                <w:b/>
                <w:bCs/>
                <w:szCs w:val="24"/>
              </w:rPr>
            </w:pPr>
            <w:r w:rsidRPr="00295549">
              <w:rPr>
                <w:rFonts w:cs="Arial"/>
                <w:b/>
                <w:bCs/>
                <w:szCs w:val="24"/>
              </w:rPr>
              <w:t>Date of meeting</w:t>
            </w:r>
          </w:p>
        </w:tc>
        <w:tc>
          <w:tcPr>
            <w:tcW w:w="5477" w:type="dxa"/>
            <w:shd w:val="clear" w:color="auto" w:fill="00958F"/>
          </w:tcPr>
          <w:p w14:paraId="396180C6" w14:textId="77777777" w:rsidR="00BB16A0" w:rsidRPr="00295549" w:rsidRDefault="00BB16A0" w:rsidP="00E57E7E">
            <w:pPr>
              <w:spacing w:before="120" w:after="120"/>
              <w:rPr>
                <w:rFonts w:cs="Arial"/>
                <w:b/>
                <w:bCs/>
                <w:szCs w:val="24"/>
              </w:rPr>
            </w:pPr>
            <w:r>
              <w:rPr>
                <w:rFonts w:cs="Arial"/>
                <w:b/>
                <w:bCs/>
                <w:szCs w:val="24"/>
              </w:rPr>
              <w:t>Meeting overview</w:t>
            </w:r>
          </w:p>
        </w:tc>
      </w:tr>
      <w:tr w:rsidR="00BB16A0" w14:paraId="6A63ECB9" w14:textId="77777777" w:rsidTr="69EDBA08">
        <w:tc>
          <w:tcPr>
            <w:tcW w:w="3539" w:type="dxa"/>
          </w:tcPr>
          <w:p w14:paraId="515434A7" w14:textId="084D927A" w:rsidR="00BB16A0" w:rsidRPr="00295549" w:rsidRDefault="71BD26A1" w:rsidP="51CA0C0D">
            <w:pPr>
              <w:spacing w:before="120" w:after="120"/>
              <w:rPr>
                <w:rFonts w:cs="Arial"/>
                <w:b/>
                <w:bCs/>
              </w:rPr>
            </w:pPr>
            <w:hyperlink w:anchor="PUM3June2025">
              <w:r w:rsidRPr="0847CD70">
                <w:rPr>
                  <w:rStyle w:val="Hyperlink"/>
                  <w:rFonts w:cs="Arial"/>
                  <w:b/>
                  <w:bCs/>
                </w:rPr>
                <w:t>16</w:t>
              </w:r>
              <w:r w:rsidR="4D2BB0C2" w:rsidRPr="0847CD70">
                <w:rPr>
                  <w:rStyle w:val="Hyperlink"/>
                  <w:rFonts w:cs="Arial"/>
                  <w:b/>
                  <w:bCs/>
                </w:rPr>
                <w:t xml:space="preserve"> June 2025</w:t>
              </w:r>
            </w:hyperlink>
          </w:p>
        </w:tc>
        <w:tc>
          <w:tcPr>
            <w:tcW w:w="5477" w:type="dxa"/>
          </w:tcPr>
          <w:p w14:paraId="422122E7" w14:textId="36838B17" w:rsidR="0C68FDFE" w:rsidRDefault="0C68FDFE" w:rsidP="69EDBA08">
            <w:pPr>
              <w:spacing w:before="120" w:after="120"/>
              <w:rPr>
                <w:rFonts w:cs="Arial"/>
              </w:rPr>
            </w:pPr>
            <w:r w:rsidRPr="69EDBA08">
              <w:rPr>
                <w:rFonts w:cs="Arial"/>
              </w:rPr>
              <w:t xml:space="preserve">Draft Order </w:t>
            </w:r>
            <w:r w:rsidR="70CD3B70" w:rsidRPr="69EDBA08">
              <w:rPr>
                <w:rFonts w:cs="Arial"/>
              </w:rPr>
              <w:t>l</w:t>
            </w:r>
            <w:r w:rsidRPr="69EDBA08">
              <w:rPr>
                <w:rFonts w:cs="Arial"/>
              </w:rPr>
              <w:t>imits</w:t>
            </w:r>
          </w:p>
          <w:p w14:paraId="61076026" w14:textId="3EAD1295" w:rsidR="00AF500E" w:rsidRDefault="00AF500E" w:rsidP="777E829A">
            <w:pPr>
              <w:spacing w:before="120" w:after="120"/>
              <w:rPr>
                <w:rFonts w:cs="Arial"/>
              </w:rPr>
            </w:pPr>
            <w:r w:rsidRPr="777E829A">
              <w:rPr>
                <w:rFonts w:cs="Arial"/>
              </w:rPr>
              <w:t>Responses to Scoping Opinion</w:t>
            </w:r>
          </w:p>
          <w:p w14:paraId="3B6B2462" w14:textId="7BB64BFD" w:rsidR="0D0E00E1" w:rsidRDefault="0D0E00E1" w:rsidP="777E829A">
            <w:pPr>
              <w:spacing w:before="120" w:after="120"/>
              <w:rPr>
                <w:rFonts w:cs="Arial"/>
              </w:rPr>
            </w:pPr>
            <w:r w:rsidRPr="777E829A">
              <w:rPr>
                <w:rFonts w:cs="Arial"/>
              </w:rPr>
              <w:t>Responses to Scoping Opinion – Preliminary environmental information report (PEIR)</w:t>
            </w:r>
          </w:p>
          <w:p w14:paraId="702308A7" w14:textId="1A76D067" w:rsidR="00AF500E" w:rsidRDefault="00AF500E" w:rsidP="777E829A">
            <w:pPr>
              <w:spacing w:before="120" w:after="120"/>
              <w:rPr>
                <w:rFonts w:cs="Arial"/>
              </w:rPr>
            </w:pPr>
            <w:r w:rsidRPr="777E829A">
              <w:rPr>
                <w:rFonts w:cs="Arial"/>
              </w:rPr>
              <w:t>Programme Document</w:t>
            </w:r>
          </w:p>
          <w:p w14:paraId="4451520B" w14:textId="547DC28A" w:rsidR="00AF500E" w:rsidRPr="00E57E7E" w:rsidRDefault="11FBFF8C" w:rsidP="777E829A">
            <w:pPr>
              <w:spacing w:before="120" w:after="120"/>
              <w:rPr>
                <w:rFonts w:cs="Arial"/>
              </w:rPr>
            </w:pPr>
            <w:r w:rsidRPr="777E829A">
              <w:rPr>
                <w:rFonts w:cs="Arial"/>
              </w:rPr>
              <w:t>Section 35 Direction</w:t>
            </w:r>
          </w:p>
          <w:p w14:paraId="71A43FAA" w14:textId="46E59733" w:rsidR="00AF500E" w:rsidRPr="00E57E7E" w:rsidRDefault="11FBFF8C" w:rsidP="777E829A">
            <w:pPr>
              <w:spacing w:before="120" w:after="120"/>
              <w:rPr>
                <w:rFonts w:cs="Arial"/>
              </w:rPr>
            </w:pPr>
            <w:r w:rsidRPr="777E829A">
              <w:rPr>
                <w:rFonts w:cs="Arial"/>
              </w:rPr>
              <w:t>Adequacy of Consultation Milestone (AoCM)</w:t>
            </w:r>
          </w:p>
          <w:p w14:paraId="6A5F2045" w14:textId="5B55218A" w:rsidR="00AF500E" w:rsidRPr="00E57E7E" w:rsidRDefault="11FBFF8C" w:rsidP="777E829A">
            <w:pPr>
              <w:spacing w:before="120" w:after="120"/>
              <w:rPr>
                <w:rFonts w:cs="Arial"/>
              </w:rPr>
            </w:pPr>
            <w:r w:rsidRPr="777E829A">
              <w:rPr>
                <w:rFonts w:cs="Arial"/>
              </w:rPr>
              <w:t>Draft Documents</w:t>
            </w:r>
          </w:p>
          <w:p w14:paraId="1AFB12DC" w14:textId="2661BA74" w:rsidR="00AF500E" w:rsidRPr="00E57E7E" w:rsidRDefault="11FBFF8C" w:rsidP="777E829A">
            <w:pPr>
              <w:spacing w:before="120" w:after="120"/>
              <w:rPr>
                <w:rFonts w:cs="Arial"/>
              </w:rPr>
            </w:pPr>
            <w:r w:rsidRPr="777E829A">
              <w:rPr>
                <w:rFonts w:cs="Arial"/>
              </w:rPr>
              <w:t>Issues Tracker</w:t>
            </w:r>
          </w:p>
          <w:p w14:paraId="734FA3E3" w14:textId="5CF804DF" w:rsidR="00AF500E" w:rsidRPr="00E57E7E" w:rsidRDefault="11FBFF8C" w:rsidP="777E829A">
            <w:pPr>
              <w:spacing w:before="120" w:after="120"/>
              <w:rPr>
                <w:rFonts w:cs="Arial"/>
              </w:rPr>
            </w:pPr>
            <w:r w:rsidRPr="777E829A">
              <w:rPr>
                <w:rFonts w:cs="Arial"/>
              </w:rPr>
              <w:t>Communication Channels</w:t>
            </w:r>
          </w:p>
          <w:p w14:paraId="2162EBE1" w14:textId="058517B0" w:rsidR="00AF500E" w:rsidRPr="00E57E7E" w:rsidRDefault="11FBFF8C" w:rsidP="69EDBA08">
            <w:pPr>
              <w:spacing w:before="120" w:after="120"/>
              <w:rPr>
                <w:rFonts w:cs="Arial"/>
              </w:rPr>
            </w:pPr>
            <w:r w:rsidRPr="69EDBA08">
              <w:rPr>
                <w:rFonts w:cs="Arial"/>
              </w:rPr>
              <w:t>Draft DCO Submission</w:t>
            </w:r>
          </w:p>
          <w:p w14:paraId="2674D033" w14:textId="6EBDAE51" w:rsidR="00AF500E" w:rsidRPr="00E57E7E" w:rsidRDefault="120DFCA4" w:rsidP="777E829A">
            <w:pPr>
              <w:spacing w:before="120" w:after="120"/>
              <w:rPr>
                <w:rFonts w:cs="Arial"/>
              </w:rPr>
            </w:pPr>
            <w:r w:rsidRPr="69EDBA08">
              <w:rPr>
                <w:rFonts w:cs="Arial"/>
              </w:rPr>
              <w:t>EA Flood Risk Data</w:t>
            </w:r>
          </w:p>
        </w:tc>
      </w:tr>
      <w:tr w:rsidR="00D244D6" w14:paraId="1240BC2C" w14:textId="77777777" w:rsidTr="69EDBA08">
        <w:tc>
          <w:tcPr>
            <w:tcW w:w="3539" w:type="dxa"/>
          </w:tcPr>
          <w:p w14:paraId="3BA04069" w14:textId="217B10DF" w:rsidR="00D244D6" w:rsidRDefault="00990D31" w:rsidP="51CA0C0D">
            <w:pPr>
              <w:spacing w:before="120" w:after="120"/>
            </w:pPr>
            <w:hyperlink w:anchor="Bookmark28Oct" w:history="1">
              <w:r w:rsidRPr="0034487C">
                <w:rPr>
                  <w:rStyle w:val="Hyperlink"/>
                </w:rPr>
                <w:t>28 October 2025</w:t>
              </w:r>
            </w:hyperlink>
            <w:r>
              <w:t xml:space="preserve"> </w:t>
            </w:r>
          </w:p>
        </w:tc>
        <w:tc>
          <w:tcPr>
            <w:tcW w:w="5477" w:type="dxa"/>
          </w:tcPr>
          <w:p w14:paraId="0DD3D28A" w14:textId="588BF90E" w:rsidR="00D244D6" w:rsidRPr="69EDBA08" w:rsidRDefault="00882CD1" w:rsidP="69EDBA08">
            <w:pPr>
              <w:spacing w:before="120" w:after="120"/>
              <w:rPr>
                <w:rFonts w:cs="Arial"/>
              </w:rPr>
            </w:pPr>
            <w:r>
              <w:rPr>
                <w:rFonts w:cs="Arial"/>
              </w:rPr>
              <w:t>Pre-application Prospectus Update</w:t>
            </w:r>
          </w:p>
        </w:tc>
      </w:tr>
    </w:tbl>
    <w:p w14:paraId="6FCAACC3" w14:textId="77777777" w:rsidR="00BB16A0" w:rsidRDefault="00BB16A0" w:rsidP="00BB16A0">
      <w:pPr>
        <w:rPr>
          <w:rFonts w:ascii="Verdana" w:hAnsi="Verdana"/>
          <w:szCs w:val="24"/>
        </w:rPr>
      </w:pPr>
    </w:p>
    <w:p w14:paraId="4D529C04" w14:textId="77777777" w:rsidR="00BB16A0" w:rsidRDefault="00BB16A0" w:rsidP="00BB16A0">
      <w:pPr>
        <w:rPr>
          <w:rFonts w:ascii="Verdana" w:hAnsi="Verdana"/>
          <w:szCs w:val="24"/>
        </w:rPr>
      </w:pPr>
      <w:r>
        <w:rPr>
          <w:rFonts w:ascii="Verdana" w:hAnsi="Verdana"/>
          <w:szCs w:val="24"/>
        </w:rPr>
        <w:br w:type="page"/>
      </w:r>
    </w:p>
    <w:tbl>
      <w:tblPr>
        <w:tblStyle w:val="TableGrid"/>
        <w:tblW w:w="0" w:type="auto"/>
        <w:tblCellMar>
          <w:top w:w="57" w:type="dxa"/>
          <w:bottom w:w="57" w:type="dxa"/>
        </w:tblCellMar>
        <w:tblLook w:val="04A0" w:firstRow="1" w:lastRow="0" w:firstColumn="1" w:lastColumn="0" w:noHBand="0" w:noVBand="1"/>
      </w:tblPr>
      <w:tblGrid>
        <w:gridCol w:w="2263"/>
        <w:gridCol w:w="6753"/>
      </w:tblGrid>
      <w:tr w:rsidR="00BB16A0" w:rsidRPr="00295549" w14:paraId="05C789E7" w14:textId="77777777" w:rsidTr="50F17AEA">
        <w:tc>
          <w:tcPr>
            <w:tcW w:w="9016" w:type="dxa"/>
            <w:gridSpan w:val="2"/>
            <w:shd w:val="clear" w:color="auto" w:fill="074745"/>
          </w:tcPr>
          <w:p w14:paraId="753823EF" w14:textId="0CB7DAEC" w:rsidR="00BB16A0" w:rsidRPr="00295549" w:rsidRDefault="0CC56B4E" w:rsidP="3C34C18A">
            <w:pPr>
              <w:spacing w:before="120" w:after="120"/>
              <w:rPr>
                <w:rFonts w:cs="Arial"/>
                <w:b/>
                <w:bCs/>
              </w:rPr>
            </w:pPr>
            <w:r w:rsidRPr="3C34C18A">
              <w:rPr>
                <w:rFonts w:cs="Arial"/>
                <w:b/>
                <w:bCs/>
              </w:rPr>
              <w:lastRenderedPageBreak/>
              <w:t>Teddington Direct River Abstraction (TDRA)</w:t>
            </w:r>
            <w:r w:rsidR="00BB16A0" w:rsidRPr="3C34C18A">
              <w:rPr>
                <w:rFonts w:cs="Arial"/>
                <w:b/>
                <w:bCs/>
              </w:rPr>
              <w:t xml:space="preserve"> -</w:t>
            </w:r>
            <w:r w:rsidR="7AD2360D" w:rsidRPr="3C34C18A">
              <w:rPr>
                <w:rFonts w:cs="Arial"/>
                <w:b/>
                <w:bCs/>
              </w:rPr>
              <w:t xml:space="preserve"> </w:t>
            </w:r>
            <w:r w:rsidR="00BB16A0" w:rsidRPr="3C34C18A">
              <w:rPr>
                <w:rFonts w:cs="Arial"/>
                <w:b/>
                <w:bCs/>
              </w:rPr>
              <w:t>s51 Advice Library</w:t>
            </w:r>
          </w:p>
        </w:tc>
      </w:tr>
      <w:tr w:rsidR="00BB16A0" w:rsidRPr="00295549" w14:paraId="199130CF" w14:textId="77777777" w:rsidTr="50F17AEA">
        <w:tc>
          <w:tcPr>
            <w:tcW w:w="2263" w:type="dxa"/>
            <w:tcBorders>
              <w:bottom w:val="single" w:sz="4" w:space="0" w:color="auto"/>
            </w:tcBorders>
            <w:shd w:val="clear" w:color="auto" w:fill="00958F"/>
          </w:tcPr>
          <w:p w14:paraId="530222FB" w14:textId="77777777" w:rsidR="00BB16A0" w:rsidRPr="00295549" w:rsidRDefault="00BB16A0" w:rsidP="00E57E7E">
            <w:pPr>
              <w:spacing w:before="120" w:after="120"/>
              <w:rPr>
                <w:rFonts w:cs="Arial"/>
                <w:b/>
                <w:bCs/>
                <w:szCs w:val="24"/>
              </w:rPr>
            </w:pPr>
            <w:r w:rsidRPr="00295549">
              <w:rPr>
                <w:rFonts w:cs="Arial"/>
                <w:b/>
                <w:bCs/>
                <w:szCs w:val="24"/>
              </w:rPr>
              <w:t>Topic</w:t>
            </w:r>
          </w:p>
        </w:tc>
        <w:tc>
          <w:tcPr>
            <w:tcW w:w="6753" w:type="dxa"/>
            <w:tcBorders>
              <w:bottom w:val="single" w:sz="4" w:space="0" w:color="auto"/>
            </w:tcBorders>
            <w:shd w:val="clear" w:color="auto" w:fill="00958F"/>
          </w:tcPr>
          <w:p w14:paraId="1404DCA4" w14:textId="2A1CC0EC" w:rsidR="00BB16A0" w:rsidRPr="00295549" w:rsidRDefault="55E72D3B" w:rsidP="3C34C18A">
            <w:pPr>
              <w:spacing w:before="120" w:after="120"/>
              <w:rPr>
                <w:rFonts w:cs="Arial"/>
                <w:b/>
                <w:bCs/>
              </w:rPr>
            </w:pPr>
            <w:bookmarkStart w:id="0" w:name="PUM3June2025"/>
            <w:r w:rsidRPr="3C34C18A">
              <w:rPr>
                <w:rFonts w:cs="Arial"/>
                <w:b/>
                <w:bCs/>
              </w:rPr>
              <w:t xml:space="preserve">Meeting date: </w:t>
            </w:r>
            <w:r w:rsidR="616E2CB8" w:rsidRPr="0847CD70">
              <w:rPr>
                <w:rFonts w:cs="Arial"/>
                <w:b/>
                <w:bCs/>
              </w:rPr>
              <w:t>16</w:t>
            </w:r>
            <w:r w:rsidR="1DCB5EFD" w:rsidRPr="3C34C18A">
              <w:rPr>
                <w:rFonts w:cs="Arial"/>
                <w:b/>
                <w:bCs/>
              </w:rPr>
              <w:t xml:space="preserve"> June 2025</w:t>
            </w:r>
            <w:bookmarkEnd w:id="0"/>
          </w:p>
        </w:tc>
      </w:tr>
      <w:tr w:rsidR="003A52C3" w:rsidRPr="00295549" w14:paraId="520234E9" w14:textId="77777777" w:rsidTr="50F17AEA">
        <w:trPr>
          <w:trHeight w:val="1199"/>
        </w:trPr>
        <w:tc>
          <w:tcPr>
            <w:tcW w:w="2263" w:type="dxa"/>
            <w:tcBorders>
              <w:bottom w:val="single" w:sz="4" w:space="0" w:color="auto"/>
            </w:tcBorders>
          </w:tcPr>
          <w:p w14:paraId="75743FA2" w14:textId="269DA527" w:rsidR="003A52C3" w:rsidRPr="006501AF" w:rsidRDefault="4D545168" w:rsidP="69EDBA08">
            <w:pPr>
              <w:spacing w:before="120" w:after="120"/>
              <w:rPr>
                <w:rFonts w:cs="Arial"/>
              </w:rPr>
            </w:pPr>
            <w:r w:rsidRPr="69EDBA08">
              <w:rPr>
                <w:rFonts w:cs="Arial"/>
              </w:rPr>
              <w:t>Draft Order limits</w:t>
            </w:r>
          </w:p>
          <w:p w14:paraId="7E10F9FD" w14:textId="00888A1D" w:rsidR="003A52C3" w:rsidRPr="006501AF" w:rsidRDefault="003A52C3" w:rsidP="69EDBA08">
            <w:pPr>
              <w:spacing w:before="120" w:after="120"/>
              <w:rPr>
                <w:rFonts w:cs="Arial"/>
              </w:rPr>
            </w:pPr>
          </w:p>
        </w:tc>
        <w:tc>
          <w:tcPr>
            <w:tcW w:w="6753" w:type="dxa"/>
            <w:tcBorders>
              <w:bottom w:val="single" w:sz="4" w:space="0" w:color="auto"/>
            </w:tcBorders>
          </w:tcPr>
          <w:p w14:paraId="6C53481B" w14:textId="5F939F59" w:rsidR="003A52C3" w:rsidRPr="006501AF" w:rsidRDefault="4D545168" w:rsidP="69EDBA08">
            <w:pPr>
              <w:spacing w:before="120" w:after="120"/>
              <w:rPr>
                <w:rFonts w:eastAsia="Arial" w:cs="Arial"/>
                <w:color w:val="000000" w:themeColor="text1"/>
              </w:rPr>
            </w:pPr>
            <w:r w:rsidRPr="69EDBA08">
              <w:rPr>
                <w:rFonts w:eastAsia="Arial" w:cs="Arial"/>
                <w:color w:val="000000" w:themeColor="text1"/>
              </w:rPr>
              <w:t>The applicant stated that there had been updates to the draft order limits compared to the boundary used in the scoping report. This included an area of highway where works might be required to accommodate abnormal loads. It was agreed to arrange a separate meeting for the applicant to explain the rationale for these changes and any implications for the approach to assessment.</w:t>
            </w:r>
          </w:p>
        </w:tc>
      </w:tr>
      <w:tr w:rsidR="00E57E7E" w:rsidRPr="00295549" w14:paraId="138A073D" w14:textId="77777777" w:rsidTr="50F17AEA">
        <w:trPr>
          <w:trHeight w:val="1199"/>
        </w:trPr>
        <w:tc>
          <w:tcPr>
            <w:tcW w:w="2263" w:type="dxa"/>
            <w:tcBorders>
              <w:bottom w:val="single" w:sz="4" w:space="0" w:color="auto"/>
            </w:tcBorders>
          </w:tcPr>
          <w:p w14:paraId="0D964707" w14:textId="3E6711F2" w:rsidR="00E57E7E" w:rsidRPr="000B45E4" w:rsidRDefault="2771ECF5" w:rsidP="00E57E7E">
            <w:pPr>
              <w:spacing w:before="120" w:after="120"/>
              <w:rPr>
                <w:rFonts w:cs="Arial"/>
              </w:rPr>
            </w:pPr>
            <w:r w:rsidRPr="4795C1B9">
              <w:rPr>
                <w:rFonts w:cs="Arial"/>
              </w:rPr>
              <w:t>Re</w:t>
            </w:r>
            <w:r w:rsidR="631EEEF2" w:rsidRPr="4795C1B9">
              <w:rPr>
                <w:rFonts w:cs="Arial"/>
              </w:rPr>
              <w:t>s</w:t>
            </w:r>
            <w:r w:rsidRPr="4795C1B9">
              <w:rPr>
                <w:rFonts w:cs="Arial"/>
              </w:rPr>
              <w:t>ponse</w:t>
            </w:r>
            <w:r w:rsidR="00B40AE3" w:rsidRPr="4795C1B9">
              <w:rPr>
                <w:rFonts w:cs="Arial"/>
              </w:rPr>
              <w:t>s</w:t>
            </w:r>
            <w:r w:rsidRPr="2DECB552">
              <w:rPr>
                <w:rFonts w:cs="Arial"/>
              </w:rPr>
              <w:t xml:space="preserve"> to Scoping </w:t>
            </w:r>
            <w:r w:rsidR="10525396" w:rsidRPr="2DECB552">
              <w:rPr>
                <w:rFonts w:cs="Arial"/>
              </w:rPr>
              <w:t>Opinion</w:t>
            </w:r>
          </w:p>
        </w:tc>
        <w:tc>
          <w:tcPr>
            <w:tcW w:w="6753" w:type="dxa"/>
            <w:tcBorders>
              <w:bottom w:val="single" w:sz="4" w:space="0" w:color="auto"/>
            </w:tcBorders>
          </w:tcPr>
          <w:p w14:paraId="17E7E67C" w14:textId="21B314AD" w:rsidR="00E57E7E" w:rsidRPr="0070719E" w:rsidRDefault="415B641C" w:rsidP="69EDBA08">
            <w:pPr>
              <w:spacing w:before="120" w:after="120"/>
              <w:rPr>
                <w:rFonts w:eastAsia="Arial" w:cs="Arial"/>
                <w:color w:val="000000" w:themeColor="text1"/>
              </w:rPr>
            </w:pPr>
            <w:r w:rsidRPr="69EDBA08">
              <w:rPr>
                <w:rFonts w:eastAsia="Arial" w:cs="Arial"/>
                <w:color w:val="000000" w:themeColor="text1"/>
              </w:rPr>
              <w:t xml:space="preserve">The applicant clarified its position on several matters in the Scoping Opinion raised by the Environment Agency (EA) and the Inspectorate in relation to construction period duration and consideration of climate change, and confirmation that during operation of the proposed development, water flow would not increase to the River Thames at the existing Mogden Sewage Treatment Works. It stated that the EA was satisfied with its clarification and approach. </w:t>
            </w:r>
          </w:p>
          <w:p w14:paraId="592FA2EB" w14:textId="7616F4D5" w:rsidR="00E57E7E" w:rsidRPr="0070719E" w:rsidRDefault="415B641C" w:rsidP="0070719E">
            <w:pPr>
              <w:spacing w:before="120" w:after="120"/>
              <w:rPr>
                <w:rFonts w:eastAsia="Arial" w:cs="Arial"/>
                <w:color w:val="000000" w:themeColor="text1"/>
              </w:rPr>
            </w:pPr>
            <w:r w:rsidRPr="69EDBA08">
              <w:rPr>
                <w:rFonts w:eastAsia="Arial" w:cs="Arial"/>
                <w:color w:val="000000" w:themeColor="text1"/>
              </w:rPr>
              <w:t>The Inspectorate advised that it could not amend the Scoping Opinion but it allowed for a refined approach provided that it demonstrates in the Environmental Statement (ES) why likely significant effects would not occur and evidences agreement with relevant stakeholders.</w:t>
            </w:r>
          </w:p>
        </w:tc>
      </w:tr>
      <w:tr w:rsidR="00653AB7" w:rsidRPr="00295549" w14:paraId="248D88DD" w14:textId="77777777" w:rsidTr="50F17AEA">
        <w:trPr>
          <w:trHeight w:val="2012"/>
        </w:trPr>
        <w:tc>
          <w:tcPr>
            <w:tcW w:w="2263" w:type="dxa"/>
            <w:tcBorders>
              <w:bottom w:val="single" w:sz="4" w:space="0" w:color="auto"/>
            </w:tcBorders>
          </w:tcPr>
          <w:p w14:paraId="1951B425" w14:textId="5BD6C093" w:rsidR="00653AB7" w:rsidRPr="2DECB552" w:rsidRDefault="2DAD1E00" w:rsidP="00E57E7E">
            <w:pPr>
              <w:spacing w:before="120" w:after="120"/>
              <w:rPr>
                <w:rFonts w:cs="Arial"/>
              </w:rPr>
            </w:pPr>
            <w:r w:rsidRPr="69EDBA08">
              <w:rPr>
                <w:rFonts w:cs="Arial"/>
              </w:rPr>
              <w:t>Res</w:t>
            </w:r>
            <w:r w:rsidR="64B62D63" w:rsidRPr="69EDBA08">
              <w:rPr>
                <w:rFonts w:cs="Arial"/>
              </w:rPr>
              <w:t xml:space="preserve">ponses to Scoping Opinion </w:t>
            </w:r>
            <w:r w:rsidR="1830D0FA" w:rsidRPr="69EDBA08">
              <w:rPr>
                <w:rFonts w:cs="Arial"/>
              </w:rPr>
              <w:t>–</w:t>
            </w:r>
            <w:r w:rsidR="64B62D63" w:rsidRPr="69EDBA08">
              <w:rPr>
                <w:rFonts w:cs="Arial"/>
              </w:rPr>
              <w:t xml:space="preserve"> </w:t>
            </w:r>
            <w:r w:rsidR="1830D0FA" w:rsidRPr="69EDBA08">
              <w:rPr>
                <w:rFonts w:cs="Arial"/>
              </w:rPr>
              <w:t>Preliminary environmental information report (</w:t>
            </w:r>
            <w:r w:rsidR="64B62D63" w:rsidRPr="69EDBA08">
              <w:rPr>
                <w:rFonts w:cs="Arial"/>
              </w:rPr>
              <w:t>P</w:t>
            </w:r>
            <w:r w:rsidR="19084C53" w:rsidRPr="69EDBA08">
              <w:rPr>
                <w:rFonts w:cs="Arial"/>
              </w:rPr>
              <w:t>EIR</w:t>
            </w:r>
            <w:r w:rsidR="1830D0FA" w:rsidRPr="69EDBA08">
              <w:rPr>
                <w:rFonts w:cs="Arial"/>
              </w:rPr>
              <w:t>)</w:t>
            </w:r>
          </w:p>
        </w:tc>
        <w:tc>
          <w:tcPr>
            <w:tcW w:w="6753" w:type="dxa"/>
            <w:tcBorders>
              <w:bottom w:val="single" w:sz="4" w:space="0" w:color="auto"/>
            </w:tcBorders>
          </w:tcPr>
          <w:p w14:paraId="6E789F8B" w14:textId="24D3109B" w:rsidR="00653AB7" w:rsidRDefault="435329AC" w:rsidP="001D01E5">
            <w:pPr>
              <w:spacing w:before="120" w:after="120"/>
              <w:rPr>
                <w:rFonts w:eastAsia="Arial" w:cs="Arial"/>
                <w:color w:val="000000" w:themeColor="text1"/>
              </w:rPr>
            </w:pPr>
            <w:r w:rsidRPr="69EDBA08">
              <w:rPr>
                <w:rFonts w:eastAsia="Arial" w:cs="Arial"/>
                <w:color w:val="000000" w:themeColor="text1"/>
              </w:rPr>
              <w:t>The applicant explained its proposed approach to assessment of major accidents and disasters in the ES. The issues scoped in would be assessed in other aspect chapters such as ground conditions, water resources and transport. The applicant would provide an appendix to the EIA method chapter setting out how risk associated with these issues would be managed. On that basis the applicant did not propose a standalone major accidents and disasters chapter. The Inspectorate advised that this approach was acceptable provided it was clear where the relevant information including assessment and any mitigation was set out in the ES.</w:t>
            </w:r>
          </w:p>
        </w:tc>
      </w:tr>
      <w:tr w:rsidR="00E57E7E" w:rsidRPr="00295549" w14:paraId="775EA4B5" w14:textId="77777777" w:rsidTr="50F17AEA">
        <w:tc>
          <w:tcPr>
            <w:tcW w:w="2263" w:type="dxa"/>
            <w:tcBorders>
              <w:bottom w:val="single" w:sz="4" w:space="0" w:color="auto"/>
            </w:tcBorders>
          </w:tcPr>
          <w:p w14:paraId="19B30A94" w14:textId="52249F83" w:rsidR="00E57E7E" w:rsidRPr="000B45E4" w:rsidRDefault="38D08A89" w:rsidP="00E57E7E">
            <w:pPr>
              <w:spacing w:before="120" w:after="120"/>
            </w:pPr>
            <w:r w:rsidRPr="2DECB552">
              <w:rPr>
                <w:rFonts w:cs="Arial"/>
              </w:rPr>
              <w:t>Programme Document</w:t>
            </w:r>
          </w:p>
        </w:tc>
        <w:tc>
          <w:tcPr>
            <w:tcW w:w="6753" w:type="dxa"/>
            <w:tcBorders>
              <w:bottom w:val="single" w:sz="4" w:space="0" w:color="auto"/>
            </w:tcBorders>
          </w:tcPr>
          <w:p w14:paraId="04A98BA3" w14:textId="3EFD0CB4" w:rsidR="00E57E7E" w:rsidRPr="003F3C50" w:rsidRDefault="66BEB490" w:rsidP="0070719E">
            <w:pPr>
              <w:spacing w:before="120" w:after="120"/>
              <w:rPr>
                <w:rFonts w:eastAsia="Arial" w:cs="Arial"/>
                <w:color w:val="000000" w:themeColor="text1"/>
              </w:rPr>
            </w:pPr>
            <w:r w:rsidRPr="50F17AEA">
              <w:rPr>
                <w:rFonts w:eastAsia="Arial" w:cs="Arial"/>
                <w:color w:val="000000" w:themeColor="text1"/>
              </w:rPr>
              <w:t xml:space="preserve">The Inspectorate advised that the applicant </w:t>
            </w:r>
            <w:r w:rsidR="24C7F354" w:rsidRPr="50F17AEA">
              <w:rPr>
                <w:rFonts w:eastAsia="Arial" w:cs="Arial"/>
                <w:color w:val="000000" w:themeColor="text1"/>
              </w:rPr>
              <w:t>ensure</w:t>
            </w:r>
            <w:r w:rsidR="285B530C" w:rsidRPr="50F17AEA">
              <w:rPr>
                <w:rFonts w:eastAsia="Arial" w:cs="Arial"/>
                <w:color w:val="000000" w:themeColor="text1"/>
              </w:rPr>
              <w:t>s</w:t>
            </w:r>
            <w:r w:rsidR="24C7F354" w:rsidRPr="50F17AEA">
              <w:rPr>
                <w:rFonts w:eastAsia="Arial" w:cs="Arial"/>
                <w:color w:val="000000" w:themeColor="text1"/>
              </w:rPr>
              <w:t xml:space="preserve"> the </w:t>
            </w:r>
            <w:r w:rsidR="78692771" w:rsidRPr="50F17AEA">
              <w:rPr>
                <w:rFonts w:eastAsia="Arial" w:cs="Arial"/>
                <w:color w:val="000000" w:themeColor="text1"/>
              </w:rPr>
              <w:t xml:space="preserve">project timeline includes past and present </w:t>
            </w:r>
            <w:r w:rsidR="46AF8336" w:rsidRPr="50F17AEA">
              <w:rPr>
                <w:rFonts w:eastAsia="Arial" w:cs="Arial"/>
                <w:color w:val="000000" w:themeColor="text1"/>
              </w:rPr>
              <w:t>milestones</w:t>
            </w:r>
            <w:r w:rsidR="00CA4ECC" w:rsidRPr="50F17AEA">
              <w:rPr>
                <w:rFonts w:eastAsia="Arial" w:cs="Arial"/>
                <w:color w:val="000000" w:themeColor="text1"/>
              </w:rPr>
              <w:t>, inclusive of project update</w:t>
            </w:r>
            <w:r w:rsidR="46AF8336" w:rsidRPr="50F17AEA">
              <w:rPr>
                <w:rFonts w:eastAsia="Arial" w:cs="Arial"/>
                <w:color w:val="000000" w:themeColor="text1"/>
              </w:rPr>
              <w:t xml:space="preserve"> meetings.</w:t>
            </w:r>
            <w:r w:rsidR="3ADFDFE5" w:rsidRPr="50F17AEA">
              <w:rPr>
                <w:rFonts w:eastAsia="Arial" w:cs="Arial"/>
                <w:color w:val="000000" w:themeColor="text1"/>
              </w:rPr>
              <w:t xml:space="preserve"> </w:t>
            </w:r>
          </w:p>
        </w:tc>
      </w:tr>
      <w:tr w:rsidR="283F0251" w14:paraId="5341F0B6" w14:textId="77777777" w:rsidTr="50F17AEA">
        <w:trPr>
          <w:trHeight w:val="300"/>
        </w:trPr>
        <w:tc>
          <w:tcPr>
            <w:tcW w:w="2263" w:type="dxa"/>
            <w:tcBorders>
              <w:bottom w:val="single" w:sz="4" w:space="0" w:color="auto"/>
            </w:tcBorders>
          </w:tcPr>
          <w:p w14:paraId="7FED6E48" w14:textId="042F8205" w:rsidR="283F0251" w:rsidRDefault="27FF4075" w:rsidP="283F0251">
            <w:pPr>
              <w:rPr>
                <w:rFonts w:cs="Arial"/>
              </w:rPr>
            </w:pPr>
            <w:r w:rsidRPr="5A8D58F9">
              <w:rPr>
                <w:rFonts w:cs="Arial"/>
              </w:rPr>
              <w:t xml:space="preserve">Section 35 </w:t>
            </w:r>
            <w:r w:rsidRPr="7836E437">
              <w:rPr>
                <w:rFonts w:cs="Arial"/>
              </w:rPr>
              <w:t>Direction</w:t>
            </w:r>
          </w:p>
        </w:tc>
        <w:tc>
          <w:tcPr>
            <w:tcW w:w="6753" w:type="dxa"/>
            <w:tcBorders>
              <w:bottom w:val="single" w:sz="4" w:space="0" w:color="auto"/>
            </w:tcBorders>
          </w:tcPr>
          <w:p w14:paraId="1FB5A0E0" w14:textId="2A6D5454" w:rsidR="283F0251" w:rsidRDefault="27FF4075" w:rsidP="7836E437">
            <w:pPr>
              <w:spacing w:before="120" w:after="120"/>
              <w:rPr>
                <w:rFonts w:eastAsia="Arial" w:cs="Arial"/>
                <w:color w:val="000000" w:themeColor="text1"/>
              </w:rPr>
            </w:pPr>
            <w:r w:rsidRPr="50F17AEA">
              <w:rPr>
                <w:rFonts w:eastAsia="Arial" w:cs="Arial"/>
                <w:color w:val="000000" w:themeColor="text1"/>
              </w:rPr>
              <w:t xml:space="preserve">The Inspectorate highlighted that </w:t>
            </w:r>
            <w:r w:rsidR="00A23E66" w:rsidRPr="50F17AEA">
              <w:rPr>
                <w:rFonts w:eastAsia="Arial" w:cs="Arial"/>
                <w:color w:val="000000" w:themeColor="text1"/>
              </w:rPr>
              <w:t>it</w:t>
            </w:r>
            <w:r w:rsidRPr="50F17AEA">
              <w:rPr>
                <w:rFonts w:eastAsia="Arial" w:cs="Arial"/>
                <w:color w:val="000000" w:themeColor="text1"/>
              </w:rPr>
              <w:t xml:space="preserve"> do</w:t>
            </w:r>
            <w:r w:rsidR="00A23E66" w:rsidRPr="50F17AEA">
              <w:rPr>
                <w:rFonts w:eastAsia="Arial" w:cs="Arial"/>
                <w:color w:val="000000" w:themeColor="text1"/>
              </w:rPr>
              <w:t>es</w:t>
            </w:r>
            <w:r w:rsidRPr="50F17AEA">
              <w:rPr>
                <w:rFonts w:eastAsia="Arial" w:cs="Arial"/>
                <w:color w:val="000000" w:themeColor="text1"/>
              </w:rPr>
              <w:t xml:space="preserve"> not hold a copy of the applicant</w:t>
            </w:r>
            <w:r w:rsidR="00183A60" w:rsidRPr="50F17AEA">
              <w:rPr>
                <w:rFonts w:eastAsia="Arial" w:cs="Arial"/>
                <w:color w:val="000000" w:themeColor="text1"/>
              </w:rPr>
              <w:t>’</w:t>
            </w:r>
            <w:r w:rsidRPr="50F17AEA">
              <w:rPr>
                <w:rFonts w:eastAsia="Arial" w:cs="Arial"/>
                <w:color w:val="000000" w:themeColor="text1"/>
              </w:rPr>
              <w:t xml:space="preserve">s </w:t>
            </w:r>
            <w:r w:rsidR="008F3E9B" w:rsidRPr="50F17AEA">
              <w:rPr>
                <w:rFonts w:eastAsia="Arial" w:cs="Arial"/>
                <w:color w:val="000000" w:themeColor="text1"/>
              </w:rPr>
              <w:t xml:space="preserve">validating request for a </w:t>
            </w:r>
            <w:r w:rsidRPr="50F17AEA">
              <w:rPr>
                <w:rFonts w:eastAsia="Arial" w:cs="Arial"/>
                <w:color w:val="000000" w:themeColor="text1"/>
              </w:rPr>
              <w:t xml:space="preserve">section 35 direction </w:t>
            </w:r>
            <w:r w:rsidR="00F04EB7" w:rsidRPr="50F17AEA">
              <w:rPr>
                <w:rFonts w:eastAsia="Arial" w:cs="Arial"/>
                <w:color w:val="000000" w:themeColor="text1"/>
              </w:rPr>
              <w:t xml:space="preserve">made to </w:t>
            </w:r>
            <w:r w:rsidR="00777D59" w:rsidRPr="50F17AEA">
              <w:rPr>
                <w:rFonts w:eastAsia="Arial" w:cs="Arial"/>
                <w:color w:val="000000" w:themeColor="text1"/>
              </w:rPr>
              <w:t xml:space="preserve">the </w:t>
            </w:r>
            <w:r w:rsidR="008339B4" w:rsidRPr="50F17AEA">
              <w:rPr>
                <w:rFonts w:eastAsia="Arial" w:cs="Arial"/>
                <w:color w:val="000000" w:themeColor="text1"/>
              </w:rPr>
              <w:t>Secretary of State</w:t>
            </w:r>
            <w:r w:rsidR="00F102F0" w:rsidRPr="50F17AEA">
              <w:rPr>
                <w:rFonts w:eastAsia="Arial" w:cs="Arial"/>
                <w:color w:val="000000" w:themeColor="text1"/>
              </w:rPr>
              <w:t xml:space="preserve"> for the </w:t>
            </w:r>
            <w:r w:rsidR="00777D59" w:rsidRPr="50F17AEA">
              <w:rPr>
                <w:rFonts w:eastAsia="Arial" w:cs="Arial"/>
                <w:color w:val="000000" w:themeColor="text1"/>
              </w:rPr>
              <w:t>Department for Environment, Food and Rural Affairs (DEFRA)</w:t>
            </w:r>
            <w:r w:rsidRPr="50F17AEA">
              <w:rPr>
                <w:rFonts w:eastAsia="Arial" w:cs="Arial"/>
                <w:color w:val="000000" w:themeColor="text1"/>
              </w:rPr>
              <w:t xml:space="preserve"> and </w:t>
            </w:r>
            <w:r w:rsidR="005472CD" w:rsidRPr="50F17AEA">
              <w:rPr>
                <w:rFonts w:eastAsia="Arial" w:cs="Arial"/>
                <w:color w:val="000000" w:themeColor="text1"/>
              </w:rPr>
              <w:t xml:space="preserve">also </w:t>
            </w:r>
            <w:r w:rsidR="00F102F0" w:rsidRPr="50F17AEA">
              <w:rPr>
                <w:rFonts w:eastAsia="Arial" w:cs="Arial"/>
                <w:color w:val="000000" w:themeColor="text1"/>
              </w:rPr>
              <w:lastRenderedPageBreak/>
              <w:t xml:space="preserve">noted </w:t>
            </w:r>
            <w:r w:rsidRPr="50F17AEA">
              <w:rPr>
                <w:rFonts w:eastAsia="Arial" w:cs="Arial"/>
                <w:color w:val="000000" w:themeColor="text1"/>
              </w:rPr>
              <w:t xml:space="preserve">that </w:t>
            </w:r>
            <w:r w:rsidR="00A740E4" w:rsidRPr="50F17AEA">
              <w:rPr>
                <w:rFonts w:eastAsia="Arial" w:cs="Arial"/>
                <w:color w:val="000000" w:themeColor="text1"/>
              </w:rPr>
              <w:t>this</w:t>
            </w:r>
            <w:r w:rsidR="005472CD" w:rsidRPr="50F17AEA">
              <w:rPr>
                <w:rFonts w:eastAsia="Arial" w:cs="Arial"/>
                <w:color w:val="000000" w:themeColor="text1"/>
              </w:rPr>
              <w:t xml:space="preserve"> </w:t>
            </w:r>
            <w:r w:rsidR="00950753" w:rsidRPr="50F17AEA">
              <w:rPr>
                <w:rFonts w:eastAsia="Arial" w:cs="Arial"/>
                <w:color w:val="000000" w:themeColor="text1"/>
              </w:rPr>
              <w:t xml:space="preserve">should </w:t>
            </w:r>
            <w:r w:rsidR="00A740E4" w:rsidRPr="50F17AEA">
              <w:rPr>
                <w:rFonts w:eastAsia="Arial" w:cs="Arial"/>
                <w:color w:val="000000" w:themeColor="text1"/>
              </w:rPr>
              <w:t xml:space="preserve">be </w:t>
            </w:r>
            <w:r w:rsidR="00950753" w:rsidRPr="50F17AEA">
              <w:rPr>
                <w:rFonts w:eastAsia="Arial" w:cs="Arial"/>
                <w:color w:val="000000" w:themeColor="text1"/>
              </w:rPr>
              <w:t>include</w:t>
            </w:r>
            <w:r w:rsidR="00A740E4" w:rsidRPr="50F17AEA">
              <w:rPr>
                <w:rFonts w:eastAsia="Arial" w:cs="Arial"/>
                <w:color w:val="000000" w:themeColor="text1"/>
              </w:rPr>
              <w:t>d within</w:t>
            </w:r>
            <w:r w:rsidR="00950753" w:rsidRPr="50F17AEA">
              <w:rPr>
                <w:rFonts w:eastAsia="Arial" w:cs="Arial"/>
                <w:color w:val="000000" w:themeColor="text1"/>
              </w:rPr>
              <w:t xml:space="preserve"> </w:t>
            </w:r>
            <w:r w:rsidR="39B0506C" w:rsidRPr="50F17AEA">
              <w:rPr>
                <w:rFonts w:eastAsia="Arial" w:cs="Arial"/>
                <w:color w:val="000000" w:themeColor="text1"/>
              </w:rPr>
              <w:t>the programme</w:t>
            </w:r>
            <w:r w:rsidRPr="50F17AEA">
              <w:rPr>
                <w:rFonts w:eastAsia="Arial" w:cs="Arial"/>
                <w:color w:val="000000" w:themeColor="text1"/>
              </w:rPr>
              <w:t xml:space="preserve"> document.</w:t>
            </w:r>
          </w:p>
        </w:tc>
      </w:tr>
      <w:tr w:rsidR="78DE941C" w14:paraId="396FB949" w14:textId="77777777" w:rsidTr="50F17AEA">
        <w:trPr>
          <w:trHeight w:val="300"/>
        </w:trPr>
        <w:tc>
          <w:tcPr>
            <w:tcW w:w="2263" w:type="dxa"/>
            <w:tcBorders>
              <w:bottom w:val="single" w:sz="4" w:space="0" w:color="auto"/>
            </w:tcBorders>
          </w:tcPr>
          <w:p w14:paraId="07BE9E91" w14:textId="67B22B0F" w:rsidR="78DE941C" w:rsidRDefault="7855316D" w:rsidP="78DE941C">
            <w:pPr>
              <w:rPr>
                <w:rFonts w:cs="Arial"/>
              </w:rPr>
            </w:pPr>
            <w:r w:rsidRPr="3C97274A">
              <w:rPr>
                <w:rFonts w:cs="Arial"/>
              </w:rPr>
              <w:lastRenderedPageBreak/>
              <w:t xml:space="preserve">Adequacy of Consultation </w:t>
            </w:r>
            <w:r w:rsidRPr="48AEBBE2">
              <w:rPr>
                <w:rFonts w:cs="Arial"/>
              </w:rPr>
              <w:t>Milestone (</w:t>
            </w:r>
            <w:r w:rsidRPr="0265AA1C">
              <w:rPr>
                <w:rFonts w:cs="Arial"/>
              </w:rPr>
              <w:t>A</w:t>
            </w:r>
            <w:r w:rsidR="003F3C50">
              <w:rPr>
                <w:rFonts w:cs="Arial"/>
              </w:rPr>
              <w:t>o</w:t>
            </w:r>
            <w:r w:rsidRPr="0265AA1C">
              <w:rPr>
                <w:rFonts w:cs="Arial"/>
              </w:rPr>
              <w:t>CM)</w:t>
            </w:r>
          </w:p>
        </w:tc>
        <w:tc>
          <w:tcPr>
            <w:tcW w:w="6753" w:type="dxa"/>
            <w:tcBorders>
              <w:bottom w:val="single" w:sz="4" w:space="0" w:color="auto"/>
            </w:tcBorders>
          </w:tcPr>
          <w:p w14:paraId="15F8A46F" w14:textId="7EF80FB1" w:rsidR="78DE941C" w:rsidRDefault="7855316D" w:rsidP="5C96FE96">
            <w:pPr>
              <w:spacing w:before="120" w:after="120"/>
              <w:rPr>
                <w:rFonts w:eastAsia="Arial" w:cs="Arial"/>
                <w:color w:val="000000" w:themeColor="text1"/>
              </w:rPr>
            </w:pPr>
            <w:r w:rsidRPr="50F17AEA">
              <w:rPr>
                <w:rFonts w:eastAsia="Arial" w:cs="Arial"/>
                <w:color w:val="000000" w:themeColor="text1"/>
              </w:rPr>
              <w:t>The Inspectorate advised the applicant that the A</w:t>
            </w:r>
            <w:r w:rsidR="003F3C50" w:rsidRPr="50F17AEA">
              <w:rPr>
                <w:rFonts w:eastAsia="Arial" w:cs="Arial"/>
                <w:color w:val="000000" w:themeColor="text1"/>
              </w:rPr>
              <w:t>o</w:t>
            </w:r>
            <w:r w:rsidRPr="50F17AEA">
              <w:rPr>
                <w:rFonts w:eastAsia="Arial" w:cs="Arial"/>
                <w:color w:val="000000" w:themeColor="text1"/>
              </w:rPr>
              <w:t>CM needs to be submitted at lea</w:t>
            </w:r>
            <w:r w:rsidR="415AF6A6" w:rsidRPr="50F17AEA">
              <w:rPr>
                <w:rFonts w:eastAsia="Arial" w:cs="Arial"/>
                <w:color w:val="000000" w:themeColor="text1"/>
              </w:rPr>
              <w:t xml:space="preserve">st </w:t>
            </w:r>
            <w:r w:rsidRPr="50F17AEA">
              <w:rPr>
                <w:rFonts w:eastAsia="Arial" w:cs="Arial"/>
                <w:color w:val="000000" w:themeColor="text1"/>
              </w:rPr>
              <w:t xml:space="preserve">three months prior to the </w:t>
            </w:r>
            <w:r w:rsidR="002B7508" w:rsidRPr="50F17AEA">
              <w:rPr>
                <w:rFonts w:eastAsia="Arial" w:cs="Arial"/>
                <w:color w:val="000000" w:themeColor="text1"/>
              </w:rPr>
              <w:t>anticipated DCO</w:t>
            </w:r>
            <w:r w:rsidRPr="50F17AEA">
              <w:rPr>
                <w:rFonts w:eastAsia="Arial" w:cs="Arial"/>
                <w:color w:val="000000" w:themeColor="text1"/>
              </w:rPr>
              <w:t xml:space="preserve"> submission</w:t>
            </w:r>
            <w:r w:rsidR="2591CA50" w:rsidRPr="50F17AEA">
              <w:rPr>
                <w:rFonts w:eastAsia="Arial" w:cs="Arial"/>
                <w:color w:val="000000" w:themeColor="text1"/>
              </w:rPr>
              <w:t xml:space="preserve">. The Inspectorate reiterated the importance of leaving enough time to complete this due to </w:t>
            </w:r>
            <w:r w:rsidR="2CCA6B13" w:rsidRPr="50F17AEA">
              <w:rPr>
                <w:rFonts w:eastAsia="Arial" w:cs="Arial"/>
                <w:color w:val="000000" w:themeColor="text1"/>
              </w:rPr>
              <w:t>the potential for</w:t>
            </w:r>
            <w:r w:rsidRPr="50F17AEA">
              <w:rPr>
                <w:rFonts w:eastAsia="Arial" w:cs="Arial"/>
                <w:color w:val="000000" w:themeColor="text1"/>
              </w:rPr>
              <w:t xml:space="preserve"> further consultation </w:t>
            </w:r>
            <w:r w:rsidR="003F66F3" w:rsidRPr="50F17AEA">
              <w:rPr>
                <w:rFonts w:eastAsia="Arial" w:cs="Arial"/>
                <w:color w:val="000000" w:themeColor="text1"/>
              </w:rPr>
              <w:t xml:space="preserve">possibly </w:t>
            </w:r>
            <w:r w:rsidR="062C825D" w:rsidRPr="50F17AEA">
              <w:rPr>
                <w:rFonts w:eastAsia="Arial" w:cs="Arial"/>
                <w:color w:val="000000" w:themeColor="text1"/>
              </w:rPr>
              <w:t xml:space="preserve">being </w:t>
            </w:r>
            <w:r w:rsidR="400133F2" w:rsidRPr="50F17AEA">
              <w:rPr>
                <w:rFonts w:eastAsia="Arial" w:cs="Arial"/>
                <w:color w:val="000000" w:themeColor="text1"/>
              </w:rPr>
              <w:t xml:space="preserve">required. </w:t>
            </w:r>
          </w:p>
        </w:tc>
      </w:tr>
      <w:tr w:rsidR="27074412" w14:paraId="5BD1466A" w14:textId="77777777" w:rsidTr="50F17AEA">
        <w:trPr>
          <w:trHeight w:val="300"/>
        </w:trPr>
        <w:tc>
          <w:tcPr>
            <w:tcW w:w="2263" w:type="dxa"/>
            <w:tcBorders>
              <w:bottom w:val="single" w:sz="4" w:space="0" w:color="auto"/>
            </w:tcBorders>
          </w:tcPr>
          <w:p w14:paraId="701DA7CB" w14:textId="0388ADC0" w:rsidR="32C70EC1" w:rsidRDefault="32C70EC1" w:rsidP="27074412">
            <w:pPr>
              <w:rPr>
                <w:rFonts w:cs="Arial"/>
              </w:rPr>
            </w:pPr>
            <w:r w:rsidRPr="50F17AEA">
              <w:rPr>
                <w:rFonts w:cs="Arial"/>
              </w:rPr>
              <w:t xml:space="preserve">Draft </w:t>
            </w:r>
            <w:r w:rsidR="00772391" w:rsidRPr="50F17AEA">
              <w:rPr>
                <w:rFonts w:cs="Arial"/>
              </w:rPr>
              <w:t xml:space="preserve">Application </w:t>
            </w:r>
            <w:r w:rsidRPr="50F17AEA">
              <w:rPr>
                <w:rFonts w:cs="Arial"/>
              </w:rPr>
              <w:t xml:space="preserve">Documents </w:t>
            </w:r>
          </w:p>
        </w:tc>
        <w:tc>
          <w:tcPr>
            <w:tcW w:w="6753" w:type="dxa"/>
            <w:tcBorders>
              <w:bottom w:val="single" w:sz="4" w:space="0" w:color="auto"/>
            </w:tcBorders>
          </w:tcPr>
          <w:p w14:paraId="1D18E963" w14:textId="00F78150" w:rsidR="27074412" w:rsidRDefault="32C70EC1" w:rsidP="34E24F6B">
            <w:pPr>
              <w:spacing w:before="120" w:after="120"/>
              <w:rPr>
                <w:rFonts w:eastAsia="Arial" w:cs="Arial"/>
                <w:color w:val="000000" w:themeColor="text1"/>
              </w:rPr>
            </w:pPr>
            <w:r w:rsidRPr="50F17AEA">
              <w:rPr>
                <w:rFonts w:eastAsia="Arial" w:cs="Arial"/>
                <w:color w:val="000000" w:themeColor="text1"/>
              </w:rPr>
              <w:t xml:space="preserve">The Inspectorate advised that it </w:t>
            </w:r>
            <w:r w:rsidR="00FE6C46" w:rsidRPr="50F17AEA">
              <w:rPr>
                <w:rFonts w:eastAsia="Arial" w:cs="Arial"/>
                <w:color w:val="000000" w:themeColor="text1"/>
              </w:rPr>
              <w:t>takes</w:t>
            </w:r>
            <w:r w:rsidRPr="50F17AEA">
              <w:rPr>
                <w:rFonts w:eastAsia="Arial" w:cs="Arial"/>
                <w:color w:val="000000" w:themeColor="text1"/>
              </w:rPr>
              <w:t xml:space="preserve"> six weeks to review and provide feedback on the applicants draft </w:t>
            </w:r>
            <w:r w:rsidR="00772391" w:rsidRPr="50F17AEA">
              <w:rPr>
                <w:rFonts w:eastAsia="Arial" w:cs="Arial"/>
                <w:color w:val="000000" w:themeColor="text1"/>
              </w:rPr>
              <w:t xml:space="preserve">application </w:t>
            </w:r>
            <w:r w:rsidRPr="50F17AEA">
              <w:rPr>
                <w:rFonts w:eastAsia="Arial" w:cs="Arial"/>
                <w:color w:val="000000" w:themeColor="text1"/>
              </w:rPr>
              <w:t>documents. The applicant should provide a submission date for this once known</w:t>
            </w:r>
            <w:r w:rsidR="00C569A6" w:rsidRPr="50F17AEA">
              <w:rPr>
                <w:rFonts w:eastAsia="Arial" w:cs="Arial"/>
                <w:color w:val="000000" w:themeColor="text1"/>
              </w:rPr>
              <w:t xml:space="preserve"> </w:t>
            </w:r>
            <w:r w:rsidR="00007657" w:rsidRPr="50F17AEA">
              <w:rPr>
                <w:rFonts w:eastAsia="Arial" w:cs="Arial"/>
                <w:color w:val="000000" w:themeColor="text1"/>
              </w:rPr>
              <w:t xml:space="preserve">for resourcing to be appropriately allocated. </w:t>
            </w:r>
          </w:p>
        </w:tc>
      </w:tr>
      <w:tr w:rsidR="00E57E7E" w:rsidRPr="00295549" w14:paraId="5FA77F83" w14:textId="77777777" w:rsidTr="50F17AEA">
        <w:tc>
          <w:tcPr>
            <w:tcW w:w="2263" w:type="dxa"/>
            <w:tcBorders>
              <w:bottom w:val="single" w:sz="4" w:space="0" w:color="auto"/>
            </w:tcBorders>
          </w:tcPr>
          <w:p w14:paraId="04E1B250" w14:textId="1E865A14" w:rsidR="00E57E7E" w:rsidRPr="000B45E4" w:rsidRDefault="38D08A89" w:rsidP="00E57E7E">
            <w:pPr>
              <w:spacing w:before="120" w:after="120"/>
              <w:rPr>
                <w:rFonts w:cs="Arial"/>
              </w:rPr>
            </w:pPr>
            <w:r w:rsidRPr="2DECB552">
              <w:rPr>
                <w:rFonts w:cs="Arial"/>
              </w:rPr>
              <w:t>Issues Tracker</w:t>
            </w:r>
          </w:p>
        </w:tc>
        <w:tc>
          <w:tcPr>
            <w:tcW w:w="6753" w:type="dxa"/>
            <w:tcBorders>
              <w:bottom w:val="single" w:sz="4" w:space="0" w:color="auto"/>
            </w:tcBorders>
          </w:tcPr>
          <w:p w14:paraId="61825298" w14:textId="1C2F8FA7" w:rsidR="00E57E7E" w:rsidRPr="0070719E" w:rsidRDefault="234F81C3" w:rsidP="0070719E">
            <w:pPr>
              <w:spacing w:before="120" w:after="120"/>
              <w:rPr>
                <w:rFonts w:eastAsia="Arial" w:cs="Arial"/>
                <w:color w:val="000000" w:themeColor="text1"/>
              </w:rPr>
            </w:pPr>
            <w:r w:rsidRPr="69EDBA08">
              <w:rPr>
                <w:rFonts w:eastAsia="Arial" w:cs="Arial"/>
                <w:color w:val="000000" w:themeColor="text1"/>
              </w:rPr>
              <w:t>The Inspectorate noted that it only contained issues raised by the EA and suggested it should also contain concerns from local authorities and other parties</w:t>
            </w:r>
            <w:r w:rsidR="464B6DDF" w:rsidRPr="69EDBA08">
              <w:rPr>
                <w:rFonts w:eastAsia="Arial" w:cs="Arial"/>
                <w:color w:val="000000" w:themeColor="text1"/>
              </w:rPr>
              <w:t>.</w:t>
            </w:r>
          </w:p>
        </w:tc>
      </w:tr>
      <w:tr w:rsidR="00004915" w:rsidRPr="00295549" w14:paraId="398A55A8" w14:textId="77777777" w:rsidTr="50F17AEA">
        <w:tc>
          <w:tcPr>
            <w:tcW w:w="2263" w:type="dxa"/>
            <w:tcBorders>
              <w:bottom w:val="single" w:sz="4" w:space="0" w:color="auto"/>
            </w:tcBorders>
          </w:tcPr>
          <w:p w14:paraId="2A3803E6" w14:textId="765C8700" w:rsidR="00004915" w:rsidRPr="2DECB552" w:rsidRDefault="00004915" w:rsidP="00E57E7E">
            <w:pPr>
              <w:spacing w:before="120" w:after="120"/>
              <w:rPr>
                <w:rFonts w:cs="Arial"/>
              </w:rPr>
            </w:pPr>
            <w:r>
              <w:rPr>
                <w:rFonts w:cs="Arial"/>
              </w:rPr>
              <w:t>Issues Tracker</w:t>
            </w:r>
          </w:p>
        </w:tc>
        <w:tc>
          <w:tcPr>
            <w:tcW w:w="6753" w:type="dxa"/>
            <w:tcBorders>
              <w:bottom w:val="single" w:sz="4" w:space="0" w:color="auto"/>
            </w:tcBorders>
          </w:tcPr>
          <w:p w14:paraId="41FA4733" w14:textId="74570BC1" w:rsidR="00004915" w:rsidRPr="121A221D" w:rsidRDefault="29DB1434" w:rsidP="00004915">
            <w:pPr>
              <w:spacing w:before="120" w:after="120"/>
              <w:rPr>
                <w:rFonts w:eastAsia="Arial" w:cs="Arial"/>
                <w:color w:val="000000" w:themeColor="text1"/>
              </w:rPr>
            </w:pPr>
            <w:r w:rsidRPr="69EDBA08">
              <w:rPr>
                <w:rFonts w:eastAsia="Arial" w:cs="Arial"/>
                <w:color w:val="000000" w:themeColor="text1"/>
              </w:rPr>
              <w:t>The Inspectorate found the risk rating useful to demonstrate how much work is needed and to understand the position of other organisations but suggested that the applicant could clarify the red amber green (RAG) status definitions as currently red and amber used the same definition. It could be beneficial to include a little more detail on issues to aid the Inspectorate’s understanding of potential areas to focus on during project update meetings. The Inspectorate agreed with the applicant’s suggestion to link common issues across different organisations to minimise duplication and increase clarity for readers.</w:t>
            </w:r>
          </w:p>
        </w:tc>
      </w:tr>
      <w:tr w:rsidR="00E57E7E" w:rsidRPr="00295549" w14:paraId="68E3F5DC" w14:textId="77777777" w:rsidTr="50F17AEA">
        <w:tc>
          <w:tcPr>
            <w:tcW w:w="2263" w:type="dxa"/>
            <w:tcBorders>
              <w:bottom w:val="single" w:sz="4" w:space="0" w:color="auto"/>
            </w:tcBorders>
          </w:tcPr>
          <w:p w14:paraId="3CE02BE7" w14:textId="5CF804DF" w:rsidR="00E57E7E" w:rsidRPr="000B45E4" w:rsidRDefault="2D1BEF1B" w:rsidP="00E57E7E">
            <w:pPr>
              <w:spacing w:before="120" w:after="120"/>
              <w:rPr>
                <w:rFonts w:cs="Arial"/>
              </w:rPr>
            </w:pPr>
            <w:r w:rsidRPr="2DECB552">
              <w:rPr>
                <w:rFonts w:cs="Arial"/>
              </w:rPr>
              <w:t>Communication Channels</w:t>
            </w:r>
          </w:p>
        </w:tc>
        <w:tc>
          <w:tcPr>
            <w:tcW w:w="6753" w:type="dxa"/>
            <w:tcBorders>
              <w:bottom w:val="single" w:sz="4" w:space="0" w:color="auto"/>
            </w:tcBorders>
          </w:tcPr>
          <w:p w14:paraId="7F011DDF" w14:textId="76F9CDD2" w:rsidR="00E57E7E" w:rsidRPr="0070719E" w:rsidRDefault="0D0E870C" w:rsidP="0070719E">
            <w:pPr>
              <w:spacing w:before="120" w:after="120"/>
              <w:rPr>
                <w:rFonts w:cs="Arial"/>
              </w:rPr>
            </w:pPr>
            <w:r w:rsidRPr="2DECB552">
              <w:rPr>
                <w:rFonts w:cs="Arial"/>
              </w:rPr>
              <w:t xml:space="preserve">The applicant queried what </w:t>
            </w:r>
            <w:r w:rsidR="1D0B9107" w:rsidRPr="733698C5">
              <w:rPr>
                <w:rFonts w:cs="Arial"/>
              </w:rPr>
              <w:t>communication</w:t>
            </w:r>
            <w:r w:rsidRPr="733698C5">
              <w:rPr>
                <w:rFonts w:cs="Arial"/>
              </w:rPr>
              <w:t xml:space="preserve"> </w:t>
            </w:r>
            <w:r w:rsidR="0FC62CA0" w:rsidRPr="733698C5">
              <w:rPr>
                <w:rFonts w:cs="Arial"/>
              </w:rPr>
              <w:t>channels</w:t>
            </w:r>
            <w:r w:rsidRPr="2DECB552">
              <w:rPr>
                <w:rFonts w:cs="Arial"/>
              </w:rPr>
              <w:t xml:space="preserve"> to use </w:t>
            </w:r>
            <w:r w:rsidR="52BAE9F3" w:rsidRPr="733698C5">
              <w:rPr>
                <w:rFonts w:cs="Arial"/>
              </w:rPr>
              <w:t xml:space="preserve">to contact the Inspectorate </w:t>
            </w:r>
            <w:r w:rsidRPr="2DECB552">
              <w:rPr>
                <w:rFonts w:cs="Arial"/>
              </w:rPr>
              <w:t xml:space="preserve">outside of meetings. The </w:t>
            </w:r>
            <w:r w:rsidR="7C8628C6" w:rsidRPr="733698C5">
              <w:rPr>
                <w:rFonts w:cs="Arial"/>
              </w:rPr>
              <w:t>I</w:t>
            </w:r>
            <w:r w:rsidRPr="733698C5">
              <w:rPr>
                <w:rFonts w:cs="Arial"/>
              </w:rPr>
              <w:t>nspectorate</w:t>
            </w:r>
            <w:r w:rsidRPr="2DECB552">
              <w:rPr>
                <w:rFonts w:cs="Arial"/>
              </w:rPr>
              <w:t xml:space="preserve"> advised </w:t>
            </w:r>
            <w:r w:rsidR="022A343A" w:rsidRPr="733698C5">
              <w:rPr>
                <w:rFonts w:cs="Arial"/>
              </w:rPr>
              <w:t xml:space="preserve">the applicant </w:t>
            </w:r>
            <w:r w:rsidRPr="2DECB552">
              <w:rPr>
                <w:rFonts w:cs="Arial"/>
              </w:rPr>
              <w:t xml:space="preserve">to utilise the </w:t>
            </w:r>
            <w:r w:rsidR="679936FC" w:rsidRPr="733698C5">
              <w:rPr>
                <w:rFonts w:cs="Arial"/>
              </w:rPr>
              <w:t>project</w:t>
            </w:r>
            <w:r w:rsidR="41513509" w:rsidRPr="2DECB552">
              <w:rPr>
                <w:rFonts w:cs="Arial"/>
              </w:rPr>
              <w:t xml:space="preserve"> mailbox and call the </w:t>
            </w:r>
            <w:r w:rsidR="24CE4198" w:rsidRPr="733698C5">
              <w:rPr>
                <w:rFonts w:cs="Arial"/>
              </w:rPr>
              <w:t>C</w:t>
            </w:r>
            <w:r w:rsidR="41513509" w:rsidRPr="733698C5">
              <w:rPr>
                <w:rFonts w:cs="Arial"/>
              </w:rPr>
              <w:t xml:space="preserve">ase </w:t>
            </w:r>
            <w:r w:rsidR="19CC0FB8" w:rsidRPr="733698C5">
              <w:rPr>
                <w:rFonts w:cs="Arial"/>
              </w:rPr>
              <w:t>M</w:t>
            </w:r>
            <w:r w:rsidR="41513509" w:rsidRPr="733698C5">
              <w:rPr>
                <w:rFonts w:cs="Arial"/>
              </w:rPr>
              <w:t>a</w:t>
            </w:r>
            <w:r w:rsidR="6D4204CF" w:rsidRPr="733698C5">
              <w:rPr>
                <w:rFonts w:cs="Arial"/>
              </w:rPr>
              <w:t>nager</w:t>
            </w:r>
            <w:r w:rsidR="41513509" w:rsidRPr="2DECB552">
              <w:rPr>
                <w:rFonts w:cs="Arial"/>
              </w:rPr>
              <w:t xml:space="preserve"> where </w:t>
            </w:r>
            <w:r w:rsidR="2908D52E" w:rsidRPr="733698C5">
              <w:rPr>
                <w:rFonts w:cs="Arial"/>
              </w:rPr>
              <w:t>appropriate</w:t>
            </w:r>
            <w:r w:rsidR="41513509" w:rsidRPr="2DECB552">
              <w:rPr>
                <w:rFonts w:cs="Arial"/>
              </w:rPr>
              <w:t xml:space="preserve">. </w:t>
            </w:r>
          </w:p>
        </w:tc>
      </w:tr>
      <w:tr w:rsidR="00E57E7E" w:rsidRPr="00295549" w14:paraId="2310BBF1" w14:textId="77777777" w:rsidTr="50F17AEA">
        <w:tc>
          <w:tcPr>
            <w:tcW w:w="2263" w:type="dxa"/>
          </w:tcPr>
          <w:p w14:paraId="3C2D463E" w14:textId="7F3890D1" w:rsidR="00E57E7E" w:rsidRPr="000B45E4" w:rsidRDefault="41513509" w:rsidP="00E57E7E">
            <w:pPr>
              <w:spacing w:before="120" w:after="120"/>
              <w:rPr>
                <w:rFonts w:cs="Arial"/>
              </w:rPr>
            </w:pPr>
            <w:r w:rsidRPr="2DECB552">
              <w:rPr>
                <w:rFonts w:cs="Arial"/>
              </w:rPr>
              <w:t>Draft DCO Submission</w:t>
            </w:r>
          </w:p>
        </w:tc>
        <w:tc>
          <w:tcPr>
            <w:tcW w:w="6753" w:type="dxa"/>
          </w:tcPr>
          <w:p w14:paraId="1DBEE56F" w14:textId="41E2FAD3" w:rsidR="00E57E7E" w:rsidRPr="0070719E" w:rsidRDefault="7F694DAC" w:rsidP="69EDBA08">
            <w:pPr>
              <w:spacing w:before="120" w:after="120"/>
              <w:rPr>
                <w:rFonts w:eastAsia="Arial" w:cs="Arial"/>
                <w:color w:val="000000" w:themeColor="text1"/>
                <w:szCs w:val="24"/>
              </w:rPr>
            </w:pPr>
            <w:r w:rsidRPr="69EDBA08">
              <w:rPr>
                <w:rFonts w:eastAsia="Arial" w:cs="Arial"/>
                <w:color w:val="000000" w:themeColor="text1"/>
                <w:szCs w:val="24"/>
              </w:rPr>
              <w:t>The Inspectorate advised that the ‘</w:t>
            </w:r>
            <w:hyperlink r:id="rId13" w:anchor="annex-a-order-of-information-submitted-with-nsip-applications">
              <w:r w:rsidRPr="69EDBA08">
                <w:rPr>
                  <w:rStyle w:val="Hyperlink"/>
                  <w:rFonts w:eastAsia="Arial" w:cs="Arial"/>
                  <w:szCs w:val="24"/>
                </w:rPr>
                <w:t>Order of information submitted with NSIP applications</w:t>
              </w:r>
            </w:hyperlink>
            <w:r w:rsidRPr="69EDBA08">
              <w:rPr>
                <w:rFonts w:eastAsia="Arial" w:cs="Arial"/>
                <w:color w:val="000000" w:themeColor="text1"/>
                <w:szCs w:val="24"/>
              </w:rPr>
              <w:t xml:space="preserve">’ on the Inspectorates advice pages had been created based off its previous experiences with other applicants. If the applicant believed reordering documents would be beneficial to readers, then it would be permissible providing the revised order was appropriate for the project. </w:t>
            </w:r>
          </w:p>
          <w:p w14:paraId="2FEC9B5B" w14:textId="481F69EB" w:rsidR="00E57E7E" w:rsidRPr="0070719E" w:rsidRDefault="7F694DAC" w:rsidP="69EDBA08">
            <w:pPr>
              <w:spacing w:before="120" w:after="120"/>
              <w:rPr>
                <w:rFonts w:eastAsia="Arial" w:cs="Arial"/>
                <w:color w:val="000000" w:themeColor="text1"/>
                <w:szCs w:val="24"/>
              </w:rPr>
            </w:pPr>
            <w:r w:rsidRPr="69EDBA08">
              <w:rPr>
                <w:rFonts w:eastAsia="Arial" w:cs="Arial"/>
                <w:color w:val="000000" w:themeColor="text1"/>
                <w:szCs w:val="24"/>
              </w:rPr>
              <w:t>The Inspectorate will use the application index to help navigate the documents. Closer to submission, the Inspectorate will review the application index to ensure it meets the Inspectorate's requirements.</w:t>
            </w:r>
          </w:p>
        </w:tc>
      </w:tr>
      <w:tr w:rsidR="00BA6EDD" w:rsidRPr="00295549" w14:paraId="39157F93" w14:textId="77777777" w:rsidTr="50F17AEA">
        <w:tc>
          <w:tcPr>
            <w:tcW w:w="2263" w:type="dxa"/>
            <w:tcBorders>
              <w:bottom w:val="single" w:sz="4" w:space="0" w:color="auto"/>
            </w:tcBorders>
          </w:tcPr>
          <w:p w14:paraId="77ACA10F" w14:textId="262FEE4E" w:rsidR="00BA6EDD" w:rsidRPr="00420C88" w:rsidRDefault="2BABC0E7" w:rsidP="69EDBA08">
            <w:pPr>
              <w:spacing w:before="120" w:after="120"/>
              <w:rPr>
                <w:rFonts w:cs="Arial"/>
              </w:rPr>
            </w:pPr>
            <w:r w:rsidRPr="69EDBA08">
              <w:rPr>
                <w:rFonts w:cs="Arial"/>
              </w:rPr>
              <w:lastRenderedPageBreak/>
              <w:t>EA flood risk data</w:t>
            </w:r>
          </w:p>
        </w:tc>
        <w:tc>
          <w:tcPr>
            <w:tcW w:w="6753" w:type="dxa"/>
            <w:tcBorders>
              <w:bottom w:val="single" w:sz="4" w:space="0" w:color="auto"/>
            </w:tcBorders>
          </w:tcPr>
          <w:p w14:paraId="34ABACEB" w14:textId="3DA4E26F" w:rsidR="00BA6EDD" w:rsidRPr="00420C88" w:rsidRDefault="133944FD" w:rsidP="69EDBA08">
            <w:pPr>
              <w:spacing w:before="120" w:after="120"/>
              <w:rPr>
                <w:rFonts w:cs="Arial"/>
              </w:rPr>
            </w:pPr>
            <w:r w:rsidRPr="69EDBA08">
              <w:rPr>
                <w:rFonts w:cs="Arial"/>
              </w:rPr>
              <w:t>The Inspectorate advised that the EA published updated flood risk data earlier in 2025, which would need to be considered in the applicant’s assessment work as relevant.</w:t>
            </w:r>
          </w:p>
        </w:tc>
      </w:tr>
    </w:tbl>
    <w:p w14:paraId="24DD40B2" w14:textId="14DB1C37" w:rsidR="3C34C18A" w:rsidRDefault="3C34C18A"/>
    <w:p w14:paraId="050AE8A9" w14:textId="77777777" w:rsidR="00163732" w:rsidRDefault="00163732"/>
    <w:tbl>
      <w:tblPr>
        <w:tblStyle w:val="TableGrid"/>
        <w:tblW w:w="0" w:type="auto"/>
        <w:tblCellMar>
          <w:top w:w="57" w:type="dxa"/>
          <w:bottom w:w="57" w:type="dxa"/>
        </w:tblCellMar>
        <w:tblLook w:val="04A0" w:firstRow="1" w:lastRow="0" w:firstColumn="1" w:lastColumn="0" w:noHBand="0" w:noVBand="1"/>
      </w:tblPr>
      <w:tblGrid>
        <w:gridCol w:w="3539"/>
        <w:gridCol w:w="5477"/>
      </w:tblGrid>
      <w:tr w:rsidR="00163732" w:rsidRPr="00295549" w14:paraId="29CF60AF" w14:textId="77777777" w:rsidTr="009D4A36">
        <w:tc>
          <w:tcPr>
            <w:tcW w:w="9016" w:type="dxa"/>
            <w:gridSpan w:val="2"/>
            <w:shd w:val="clear" w:color="auto" w:fill="074745"/>
          </w:tcPr>
          <w:p w14:paraId="0C97777B" w14:textId="585469A6" w:rsidR="00163732" w:rsidRPr="00295549" w:rsidRDefault="00163732" w:rsidP="008647AA">
            <w:pPr>
              <w:spacing w:before="120" w:after="120"/>
              <w:rPr>
                <w:rFonts w:cs="Arial"/>
                <w:b/>
                <w:bCs/>
                <w:szCs w:val="24"/>
              </w:rPr>
            </w:pPr>
            <w:r w:rsidRPr="3C34C18A">
              <w:rPr>
                <w:rFonts w:cs="Arial"/>
                <w:b/>
                <w:bCs/>
              </w:rPr>
              <w:t>Teddington Direct River Abstraction (TDRA) - s51 Advice Library</w:t>
            </w:r>
            <w:bookmarkStart w:id="1" w:name="Bookmark28Oct"/>
            <w:bookmarkEnd w:id="1"/>
          </w:p>
        </w:tc>
      </w:tr>
      <w:tr w:rsidR="00163732" w:rsidRPr="00295549" w14:paraId="77CFCEEE" w14:textId="77777777" w:rsidTr="008647AA">
        <w:trPr>
          <w:trHeight w:val="615"/>
        </w:trPr>
        <w:tc>
          <w:tcPr>
            <w:tcW w:w="3539" w:type="dxa"/>
            <w:shd w:val="clear" w:color="auto" w:fill="00958F"/>
          </w:tcPr>
          <w:p w14:paraId="13BCD97E" w14:textId="1E6A5D9C" w:rsidR="00163732" w:rsidRPr="00295549" w:rsidRDefault="00163732" w:rsidP="00163732">
            <w:pPr>
              <w:spacing w:before="120" w:after="120"/>
              <w:rPr>
                <w:rFonts w:cs="Arial"/>
                <w:b/>
                <w:bCs/>
                <w:szCs w:val="24"/>
              </w:rPr>
            </w:pPr>
            <w:r>
              <w:rPr>
                <w:rFonts w:cs="Arial"/>
                <w:b/>
                <w:bCs/>
                <w:szCs w:val="24"/>
              </w:rPr>
              <w:t>Topic</w:t>
            </w:r>
          </w:p>
        </w:tc>
        <w:tc>
          <w:tcPr>
            <w:tcW w:w="5477" w:type="dxa"/>
            <w:shd w:val="clear" w:color="auto" w:fill="00958F"/>
          </w:tcPr>
          <w:p w14:paraId="4EF067ED" w14:textId="02DE2823" w:rsidR="00163732" w:rsidRPr="00295549" w:rsidRDefault="00163732" w:rsidP="008647AA">
            <w:pPr>
              <w:spacing w:before="120" w:after="120"/>
              <w:rPr>
                <w:rFonts w:cs="Arial"/>
                <w:b/>
                <w:bCs/>
                <w:szCs w:val="24"/>
              </w:rPr>
            </w:pPr>
            <w:r>
              <w:rPr>
                <w:rFonts w:cs="Arial"/>
                <w:b/>
                <w:bCs/>
                <w:szCs w:val="24"/>
              </w:rPr>
              <w:t>Advice Date (Email)</w:t>
            </w:r>
            <w:r w:rsidR="00ED7EFA">
              <w:rPr>
                <w:rFonts w:cs="Arial"/>
                <w:b/>
                <w:bCs/>
                <w:szCs w:val="24"/>
              </w:rPr>
              <w:t>:</w:t>
            </w:r>
            <w:r>
              <w:rPr>
                <w:rFonts w:cs="Arial"/>
                <w:b/>
                <w:bCs/>
                <w:szCs w:val="24"/>
              </w:rPr>
              <w:t xml:space="preserve"> </w:t>
            </w:r>
            <w:r w:rsidR="00ED7EFA">
              <w:rPr>
                <w:rFonts w:cs="Arial"/>
                <w:b/>
                <w:bCs/>
                <w:szCs w:val="24"/>
              </w:rPr>
              <w:t>28 October 2025</w:t>
            </w:r>
          </w:p>
        </w:tc>
      </w:tr>
      <w:tr w:rsidR="00163732" w:rsidRPr="00E57E7E" w14:paraId="22B92021" w14:textId="77777777" w:rsidTr="008647AA">
        <w:tc>
          <w:tcPr>
            <w:tcW w:w="3539" w:type="dxa"/>
          </w:tcPr>
          <w:p w14:paraId="7A426683" w14:textId="145CECBD" w:rsidR="00163732" w:rsidRPr="00295549" w:rsidRDefault="004E6DB7" w:rsidP="008647AA">
            <w:pPr>
              <w:spacing w:before="120" w:after="120"/>
              <w:rPr>
                <w:rFonts w:cs="Arial"/>
                <w:b/>
                <w:bCs/>
              </w:rPr>
            </w:pPr>
            <w:r>
              <w:rPr>
                <w:rFonts w:cs="Arial"/>
                <w:b/>
                <w:bCs/>
              </w:rPr>
              <w:t>Pre</w:t>
            </w:r>
            <w:r w:rsidR="000C174C">
              <w:rPr>
                <w:rFonts w:cs="Arial"/>
                <w:b/>
                <w:bCs/>
              </w:rPr>
              <w:t>-application Prospectus</w:t>
            </w:r>
          </w:p>
        </w:tc>
        <w:tc>
          <w:tcPr>
            <w:tcW w:w="5477" w:type="dxa"/>
          </w:tcPr>
          <w:p w14:paraId="7A4C4E67" w14:textId="3B538749" w:rsidR="00E3185E" w:rsidRDefault="00E3185E" w:rsidP="008647AA">
            <w:pPr>
              <w:spacing w:before="120" w:after="120"/>
              <w:rPr>
                <w:rFonts w:cs="Arial"/>
              </w:rPr>
            </w:pPr>
            <w:r w:rsidRPr="00E3185E">
              <w:rPr>
                <w:rFonts w:cs="Arial"/>
              </w:rPr>
              <w:t>The Inspectorate has advised that, following a 6-month review of our services, our Pre-application Prospectus has been updated: 2024 Pre-application Prospectus. The update log at the bottom of the page summarises the changes and clarifications that have been applied.</w:t>
            </w:r>
          </w:p>
          <w:p w14:paraId="14EC348E" w14:textId="6F7A1149" w:rsidR="00E3185E" w:rsidRDefault="00E3185E" w:rsidP="008647AA">
            <w:pPr>
              <w:spacing w:before="120" w:after="120"/>
              <w:rPr>
                <w:rFonts w:cs="Arial"/>
              </w:rPr>
            </w:pPr>
            <w:r w:rsidRPr="00E3185E">
              <w:rPr>
                <w:rFonts w:cs="Arial"/>
              </w:rPr>
              <w:t>Applicants with a live project at the pre-application stage of the process, please familiarise yourself with the update and consider how it might affect your pre-application programme and interaction with our services.</w:t>
            </w:r>
          </w:p>
          <w:p w14:paraId="208777B3" w14:textId="77777777" w:rsidR="00E3185E" w:rsidRDefault="00E3185E" w:rsidP="008647AA">
            <w:pPr>
              <w:spacing w:before="120" w:after="120"/>
              <w:rPr>
                <w:rFonts w:cs="Arial"/>
              </w:rPr>
            </w:pPr>
            <w:r w:rsidRPr="00E3185E">
              <w:rPr>
                <w:rFonts w:cs="Arial"/>
              </w:rPr>
              <w:t xml:space="preserve"> Please note in particular: </w:t>
            </w:r>
          </w:p>
          <w:p w14:paraId="305B4141" w14:textId="33D0CE7D" w:rsidR="00E3185E" w:rsidRDefault="00E3185E" w:rsidP="005A5C9D">
            <w:pPr>
              <w:pStyle w:val="ListParagraph"/>
              <w:numPr>
                <w:ilvl w:val="0"/>
                <w:numId w:val="2"/>
              </w:numPr>
              <w:spacing w:before="120" w:after="120"/>
              <w:rPr>
                <w:rFonts w:cs="Arial"/>
              </w:rPr>
            </w:pPr>
            <w:r w:rsidRPr="005A5C9D">
              <w:rPr>
                <w:rFonts w:cs="Arial"/>
              </w:rPr>
              <w:t>the establishment of land and rights negotiations tracking as a primary service feature – this means it is now expected for all applicants to develop and share a land and right negotiations tracker in 1 of 2 available templates, irrespective of the service tier they have subscribed to</w:t>
            </w:r>
            <w:r w:rsidR="00143D6C">
              <w:rPr>
                <w:rFonts w:cs="Arial"/>
              </w:rPr>
              <w:t>.</w:t>
            </w:r>
          </w:p>
          <w:p w14:paraId="2A48BAE1" w14:textId="77777777" w:rsidR="00143D6C" w:rsidRPr="00143D6C" w:rsidRDefault="00143D6C" w:rsidP="00143D6C">
            <w:pPr>
              <w:spacing w:before="120" w:after="120"/>
              <w:rPr>
                <w:rFonts w:cs="Arial"/>
              </w:rPr>
            </w:pPr>
          </w:p>
          <w:p w14:paraId="7D00CCAE" w14:textId="00D06C9A" w:rsidR="00163732" w:rsidRPr="005A5C9D" w:rsidRDefault="00E3185E" w:rsidP="005A5C9D">
            <w:pPr>
              <w:pStyle w:val="ListParagraph"/>
              <w:numPr>
                <w:ilvl w:val="0"/>
                <w:numId w:val="2"/>
              </w:numPr>
              <w:spacing w:before="120" w:after="120"/>
              <w:rPr>
                <w:rFonts w:cs="Arial"/>
              </w:rPr>
            </w:pPr>
            <w:r w:rsidRPr="005A5C9D">
              <w:rPr>
                <w:rFonts w:cs="Arial"/>
              </w:rPr>
              <w:t>clarified expectations of applicants when preparing to interact with the Inspectorate at meetings – including clarified rights for the Inspectorate to delay or refuse service where pre-meeting expectations are not upheld e.g. an updated programme document or 9 issues tracker is not provided, on time, to inform a meeting agenda</w:t>
            </w:r>
            <w:r w:rsidR="00143D6C">
              <w:rPr>
                <w:rFonts w:cs="Arial"/>
              </w:rPr>
              <w:t>.</w:t>
            </w:r>
          </w:p>
        </w:tc>
      </w:tr>
    </w:tbl>
    <w:p w14:paraId="3661A234" w14:textId="77777777" w:rsidR="00163732" w:rsidRDefault="00163732"/>
    <w:sectPr w:rsidR="00163732" w:rsidSect="00295549">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34D1" w14:textId="77777777" w:rsidR="00BB44FA" w:rsidRDefault="00BB44FA" w:rsidP="00295549">
      <w:r>
        <w:separator/>
      </w:r>
    </w:p>
  </w:endnote>
  <w:endnote w:type="continuationSeparator" w:id="0">
    <w:p w14:paraId="070DD8C2" w14:textId="77777777" w:rsidR="00BB44FA" w:rsidRDefault="00BB44FA" w:rsidP="00295549">
      <w:r>
        <w:continuationSeparator/>
      </w:r>
    </w:p>
  </w:endnote>
  <w:endnote w:type="continuationNotice" w:id="1">
    <w:p w14:paraId="15829BDE" w14:textId="77777777" w:rsidR="00BB44FA" w:rsidRDefault="00BB4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379734"/>
      <w:docPartObj>
        <w:docPartGallery w:val="Page Numbers (Bottom of Page)"/>
        <w:docPartUnique/>
      </w:docPartObj>
    </w:sdtPr>
    <w:sdtEndPr>
      <w:rPr>
        <w:noProof/>
      </w:rPr>
    </w:sdtEndPr>
    <w:sdtContent>
      <w:p w14:paraId="212A32E2" w14:textId="68D4B26E" w:rsidR="00295549" w:rsidRDefault="002955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FD5785" w14:textId="77777777" w:rsidR="00295549" w:rsidRDefault="00295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CEB3" w14:textId="77777777" w:rsidR="00BB44FA" w:rsidRDefault="00BB44FA" w:rsidP="00295549">
      <w:r>
        <w:separator/>
      </w:r>
    </w:p>
  </w:footnote>
  <w:footnote w:type="continuationSeparator" w:id="0">
    <w:p w14:paraId="60783DC1" w14:textId="77777777" w:rsidR="00BB44FA" w:rsidRDefault="00BB44FA" w:rsidP="00295549">
      <w:r>
        <w:continuationSeparator/>
      </w:r>
    </w:p>
  </w:footnote>
  <w:footnote w:type="continuationNotice" w:id="1">
    <w:p w14:paraId="32F8B938" w14:textId="77777777" w:rsidR="00BB44FA" w:rsidRDefault="00BB4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73C4" w14:textId="62D7AFBF" w:rsidR="00B47BEE" w:rsidRDefault="00B47BEE" w:rsidP="00B47BEE">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C6105"/>
    <w:multiLevelType w:val="hybridMultilevel"/>
    <w:tmpl w:val="30EC4AE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6321940C"/>
    <w:multiLevelType w:val="hybridMultilevel"/>
    <w:tmpl w:val="589CEF88"/>
    <w:lvl w:ilvl="0" w:tplc="C99633F0">
      <w:start w:val="1"/>
      <w:numFmt w:val="bullet"/>
      <w:lvlText w:val="-"/>
      <w:lvlJc w:val="left"/>
      <w:pPr>
        <w:ind w:left="720" w:hanging="360"/>
      </w:pPr>
      <w:rPr>
        <w:rFonts w:ascii="Aptos" w:hAnsi="Aptos" w:hint="default"/>
      </w:rPr>
    </w:lvl>
    <w:lvl w:ilvl="1" w:tplc="0D20BFF4">
      <w:start w:val="1"/>
      <w:numFmt w:val="bullet"/>
      <w:lvlText w:val="o"/>
      <w:lvlJc w:val="left"/>
      <w:pPr>
        <w:ind w:left="1440" w:hanging="360"/>
      </w:pPr>
      <w:rPr>
        <w:rFonts w:ascii="Courier New" w:hAnsi="Courier New" w:hint="default"/>
      </w:rPr>
    </w:lvl>
    <w:lvl w:ilvl="2" w:tplc="7C66DCAA">
      <w:start w:val="1"/>
      <w:numFmt w:val="bullet"/>
      <w:lvlText w:val=""/>
      <w:lvlJc w:val="left"/>
      <w:pPr>
        <w:ind w:left="2160" w:hanging="360"/>
      </w:pPr>
      <w:rPr>
        <w:rFonts w:ascii="Wingdings" w:hAnsi="Wingdings" w:hint="default"/>
      </w:rPr>
    </w:lvl>
    <w:lvl w:ilvl="3" w:tplc="0540D2BC">
      <w:start w:val="1"/>
      <w:numFmt w:val="bullet"/>
      <w:lvlText w:val=""/>
      <w:lvlJc w:val="left"/>
      <w:pPr>
        <w:ind w:left="2880" w:hanging="360"/>
      </w:pPr>
      <w:rPr>
        <w:rFonts w:ascii="Symbol" w:hAnsi="Symbol" w:hint="default"/>
      </w:rPr>
    </w:lvl>
    <w:lvl w:ilvl="4" w:tplc="034A7F92">
      <w:start w:val="1"/>
      <w:numFmt w:val="bullet"/>
      <w:lvlText w:val="o"/>
      <w:lvlJc w:val="left"/>
      <w:pPr>
        <w:ind w:left="3600" w:hanging="360"/>
      </w:pPr>
      <w:rPr>
        <w:rFonts w:ascii="Courier New" w:hAnsi="Courier New" w:hint="default"/>
      </w:rPr>
    </w:lvl>
    <w:lvl w:ilvl="5" w:tplc="6EDC6258">
      <w:start w:val="1"/>
      <w:numFmt w:val="bullet"/>
      <w:lvlText w:val=""/>
      <w:lvlJc w:val="left"/>
      <w:pPr>
        <w:ind w:left="4320" w:hanging="360"/>
      </w:pPr>
      <w:rPr>
        <w:rFonts w:ascii="Wingdings" w:hAnsi="Wingdings" w:hint="default"/>
      </w:rPr>
    </w:lvl>
    <w:lvl w:ilvl="6" w:tplc="5F24549C">
      <w:start w:val="1"/>
      <w:numFmt w:val="bullet"/>
      <w:lvlText w:val=""/>
      <w:lvlJc w:val="left"/>
      <w:pPr>
        <w:ind w:left="5040" w:hanging="360"/>
      </w:pPr>
      <w:rPr>
        <w:rFonts w:ascii="Symbol" w:hAnsi="Symbol" w:hint="default"/>
      </w:rPr>
    </w:lvl>
    <w:lvl w:ilvl="7" w:tplc="5E00C2FC">
      <w:start w:val="1"/>
      <w:numFmt w:val="bullet"/>
      <w:lvlText w:val="o"/>
      <w:lvlJc w:val="left"/>
      <w:pPr>
        <w:ind w:left="5760" w:hanging="360"/>
      </w:pPr>
      <w:rPr>
        <w:rFonts w:ascii="Courier New" w:hAnsi="Courier New" w:hint="default"/>
      </w:rPr>
    </w:lvl>
    <w:lvl w:ilvl="8" w:tplc="BF1C2DB2">
      <w:start w:val="1"/>
      <w:numFmt w:val="bullet"/>
      <w:lvlText w:val=""/>
      <w:lvlJc w:val="left"/>
      <w:pPr>
        <w:ind w:left="6480" w:hanging="360"/>
      </w:pPr>
      <w:rPr>
        <w:rFonts w:ascii="Wingdings" w:hAnsi="Wingdings" w:hint="default"/>
      </w:rPr>
    </w:lvl>
  </w:abstractNum>
  <w:num w:numId="1" w16cid:durableId="343099156">
    <w:abstractNumId w:val="1"/>
  </w:num>
  <w:num w:numId="2" w16cid:durableId="68737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31"/>
    <w:rsid w:val="000005F2"/>
    <w:rsid w:val="00001075"/>
    <w:rsid w:val="00004001"/>
    <w:rsid w:val="00004915"/>
    <w:rsid w:val="00005C01"/>
    <w:rsid w:val="00007657"/>
    <w:rsid w:val="00007846"/>
    <w:rsid w:val="0001014B"/>
    <w:rsid w:val="000106E8"/>
    <w:rsid w:val="00023C32"/>
    <w:rsid w:val="0002557D"/>
    <w:rsid w:val="00026458"/>
    <w:rsid w:val="0003050A"/>
    <w:rsid w:val="0003064E"/>
    <w:rsid w:val="00030F83"/>
    <w:rsid w:val="00033C8E"/>
    <w:rsid w:val="00037A47"/>
    <w:rsid w:val="00041222"/>
    <w:rsid w:val="000415D7"/>
    <w:rsid w:val="00045293"/>
    <w:rsid w:val="00052CB2"/>
    <w:rsid w:val="000541EA"/>
    <w:rsid w:val="000569E1"/>
    <w:rsid w:val="00056CAD"/>
    <w:rsid w:val="00064290"/>
    <w:rsid w:val="00065AA7"/>
    <w:rsid w:val="00065EB6"/>
    <w:rsid w:val="00070ED7"/>
    <w:rsid w:val="00072E93"/>
    <w:rsid w:val="00073091"/>
    <w:rsid w:val="00074E16"/>
    <w:rsid w:val="000760C6"/>
    <w:rsid w:val="000779F1"/>
    <w:rsid w:val="00080740"/>
    <w:rsid w:val="00090150"/>
    <w:rsid w:val="0009052E"/>
    <w:rsid w:val="00090BBD"/>
    <w:rsid w:val="000951E4"/>
    <w:rsid w:val="000953D8"/>
    <w:rsid w:val="000A07EE"/>
    <w:rsid w:val="000A2CB1"/>
    <w:rsid w:val="000B25B7"/>
    <w:rsid w:val="000B3264"/>
    <w:rsid w:val="000B45E4"/>
    <w:rsid w:val="000B61A4"/>
    <w:rsid w:val="000B7E6B"/>
    <w:rsid w:val="000C174C"/>
    <w:rsid w:val="000C2F94"/>
    <w:rsid w:val="000C3439"/>
    <w:rsid w:val="000C46BD"/>
    <w:rsid w:val="000C5CB4"/>
    <w:rsid w:val="000C63A1"/>
    <w:rsid w:val="000C6446"/>
    <w:rsid w:val="000D2B72"/>
    <w:rsid w:val="000D48B8"/>
    <w:rsid w:val="000D4D3A"/>
    <w:rsid w:val="000E0D8A"/>
    <w:rsid w:val="000E350E"/>
    <w:rsid w:val="000E35A6"/>
    <w:rsid w:val="000E4B9E"/>
    <w:rsid w:val="000E59EE"/>
    <w:rsid w:val="000F6560"/>
    <w:rsid w:val="001002EB"/>
    <w:rsid w:val="001020C2"/>
    <w:rsid w:val="0010694A"/>
    <w:rsid w:val="001075E3"/>
    <w:rsid w:val="0011262A"/>
    <w:rsid w:val="00112652"/>
    <w:rsid w:val="00113612"/>
    <w:rsid w:val="001166BF"/>
    <w:rsid w:val="00120570"/>
    <w:rsid w:val="001214E5"/>
    <w:rsid w:val="00124CCB"/>
    <w:rsid w:val="00132C27"/>
    <w:rsid w:val="00137347"/>
    <w:rsid w:val="0014111C"/>
    <w:rsid w:val="00143D6C"/>
    <w:rsid w:val="00143E76"/>
    <w:rsid w:val="00144117"/>
    <w:rsid w:val="0014482F"/>
    <w:rsid w:val="001457D6"/>
    <w:rsid w:val="001501DD"/>
    <w:rsid w:val="001507A6"/>
    <w:rsid w:val="00152423"/>
    <w:rsid w:val="001537D8"/>
    <w:rsid w:val="00153E63"/>
    <w:rsid w:val="001545FD"/>
    <w:rsid w:val="0015528F"/>
    <w:rsid w:val="0015717B"/>
    <w:rsid w:val="00160F54"/>
    <w:rsid w:val="001621E9"/>
    <w:rsid w:val="00163732"/>
    <w:rsid w:val="001666ED"/>
    <w:rsid w:val="00166D69"/>
    <w:rsid w:val="001717D6"/>
    <w:rsid w:val="001722A6"/>
    <w:rsid w:val="001725B3"/>
    <w:rsid w:val="0017369F"/>
    <w:rsid w:val="00176416"/>
    <w:rsid w:val="00180F4F"/>
    <w:rsid w:val="00181579"/>
    <w:rsid w:val="00181C3A"/>
    <w:rsid w:val="00182D89"/>
    <w:rsid w:val="00183A60"/>
    <w:rsid w:val="00185675"/>
    <w:rsid w:val="00187B74"/>
    <w:rsid w:val="0019736E"/>
    <w:rsid w:val="001A0341"/>
    <w:rsid w:val="001A1ABA"/>
    <w:rsid w:val="001B1C3A"/>
    <w:rsid w:val="001B2FCC"/>
    <w:rsid w:val="001B327E"/>
    <w:rsid w:val="001B3ABC"/>
    <w:rsid w:val="001B4B09"/>
    <w:rsid w:val="001B5BEE"/>
    <w:rsid w:val="001B6793"/>
    <w:rsid w:val="001B7463"/>
    <w:rsid w:val="001C0589"/>
    <w:rsid w:val="001C1C23"/>
    <w:rsid w:val="001C3689"/>
    <w:rsid w:val="001C41FA"/>
    <w:rsid w:val="001C4F6C"/>
    <w:rsid w:val="001D01E5"/>
    <w:rsid w:val="001D0F29"/>
    <w:rsid w:val="001D1304"/>
    <w:rsid w:val="001D1F8A"/>
    <w:rsid w:val="001D2310"/>
    <w:rsid w:val="001D3139"/>
    <w:rsid w:val="001D5388"/>
    <w:rsid w:val="001D7773"/>
    <w:rsid w:val="001E1B4C"/>
    <w:rsid w:val="001E26A9"/>
    <w:rsid w:val="001F0B86"/>
    <w:rsid w:val="001F5901"/>
    <w:rsid w:val="00200DDF"/>
    <w:rsid w:val="002022AB"/>
    <w:rsid w:val="0020412C"/>
    <w:rsid w:val="00206E8C"/>
    <w:rsid w:val="002115F0"/>
    <w:rsid w:val="00216B6D"/>
    <w:rsid w:val="0021784F"/>
    <w:rsid w:val="002201BC"/>
    <w:rsid w:val="00225536"/>
    <w:rsid w:val="00241003"/>
    <w:rsid w:val="00242842"/>
    <w:rsid w:val="0024686E"/>
    <w:rsid w:val="00247621"/>
    <w:rsid w:val="00250A2E"/>
    <w:rsid w:val="00256D09"/>
    <w:rsid w:val="00261BC1"/>
    <w:rsid w:val="00263E76"/>
    <w:rsid w:val="00265645"/>
    <w:rsid w:val="00270244"/>
    <w:rsid w:val="00270D4C"/>
    <w:rsid w:val="00273E21"/>
    <w:rsid w:val="00274C86"/>
    <w:rsid w:val="00280EB8"/>
    <w:rsid w:val="00282A3E"/>
    <w:rsid w:val="00283D40"/>
    <w:rsid w:val="00285F06"/>
    <w:rsid w:val="00287EF5"/>
    <w:rsid w:val="00291AB5"/>
    <w:rsid w:val="002943AE"/>
    <w:rsid w:val="00294E22"/>
    <w:rsid w:val="00295549"/>
    <w:rsid w:val="00297055"/>
    <w:rsid w:val="002A35E7"/>
    <w:rsid w:val="002A68F9"/>
    <w:rsid w:val="002A7B1C"/>
    <w:rsid w:val="002A7F4F"/>
    <w:rsid w:val="002B1102"/>
    <w:rsid w:val="002B41A7"/>
    <w:rsid w:val="002B48C2"/>
    <w:rsid w:val="002B4DAA"/>
    <w:rsid w:val="002B7508"/>
    <w:rsid w:val="002B794E"/>
    <w:rsid w:val="002C23EB"/>
    <w:rsid w:val="002C26C2"/>
    <w:rsid w:val="002C2B41"/>
    <w:rsid w:val="002C41F4"/>
    <w:rsid w:val="002C43B1"/>
    <w:rsid w:val="002C5910"/>
    <w:rsid w:val="002C69C6"/>
    <w:rsid w:val="002D0FC2"/>
    <w:rsid w:val="002D653D"/>
    <w:rsid w:val="002D75E3"/>
    <w:rsid w:val="002E14AF"/>
    <w:rsid w:val="002E1E9A"/>
    <w:rsid w:val="002F34C9"/>
    <w:rsid w:val="002F3FDD"/>
    <w:rsid w:val="003054C4"/>
    <w:rsid w:val="00314238"/>
    <w:rsid w:val="00314C7D"/>
    <w:rsid w:val="00320FF1"/>
    <w:rsid w:val="0032111F"/>
    <w:rsid w:val="00321AC3"/>
    <w:rsid w:val="0032406B"/>
    <w:rsid w:val="00324375"/>
    <w:rsid w:val="00324A55"/>
    <w:rsid w:val="00327EBC"/>
    <w:rsid w:val="003355A0"/>
    <w:rsid w:val="00336E17"/>
    <w:rsid w:val="00340C1F"/>
    <w:rsid w:val="0034142E"/>
    <w:rsid w:val="00341CAC"/>
    <w:rsid w:val="003422D3"/>
    <w:rsid w:val="0034366C"/>
    <w:rsid w:val="0034487C"/>
    <w:rsid w:val="00345100"/>
    <w:rsid w:val="003453B6"/>
    <w:rsid w:val="0034620E"/>
    <w:rsid w:val="003471A0"/>
    <w:rsid w:val="00350CAF"/>
    <w:rsid w:val="00351390"/>
    <w:rsid w:val="00355541"/>
    <w:rsid w:val="0036112E"/>
    <w:rsid w:val="00362E46"/>
    <w:rsid w:val="00364169"/>
    <w:rsid w:val="0036599D"/>
    <w:rsid w:val="00367284"/>
    <w:rsid w:val="0036731A"/>
    <w:rsid w:val="003724BC"/>
    <w:rsid w:val="00382706"/>
    <w:rsid w:val="0038290E"/>
    <w:rsid w:val="003839B4"/>
    <w:rsid w:val="0038634D"/>
    <w:rsid w:val="00395FD1"/>
    <w:rsid w:val="003963CE"/>
    <w:rsid w:val="003A1417"/>
    <w:rsid w:val="003A2C3B"/>
    <w:rsid w:val="003A3CE9"/>
    <w:rsid w:val="003A52C3"/>
    <w:rsid w:val="003B274E"/>
    <w:rsid w:val="003B2819"/>
    <w:rsid w:val="003B3A3A"/>
    <w:rsid w:val="003B5D2F"/>
    <w:rsid w:val="003B7A40"/>
    <w:rsid w:val="003C0349"/>
    <w:rsid w:val="003C2217"/>
    <w:rsid w:val="003C38F3"/>
    <w:rsid w:val="003C3C98"/>
    <w:rsid w:val="003C4FAD"/>
    <w:rsid w:val="003D1BEB"/>
    <w:rsid w:val="003D2D6B"/>
    <w:rsid w:val="003D3AF2"/>
    <w:rsid w:val="003E1410"/>
    <w:rsid w:val="003E3E75"/>
    <w:rsid w:val="003E64D4"/>
    <w:rsid w:val="003F168E"/>
    <w:rsid w:val="003F2DDE"/>
    <w:rsid w:val="003F2EC2"/>
    <w:rsid w:val="003F3C50"/>
    <w:rsid w:val="003F4145"/>
    <w:rsid w:val="003F66F3"/>
    <w:rsid w:val="00400CDD"/>
    <w:rsid w:val="004014A3"/>
    <w:rsid w:val="0040363E"/>
    <w:rsid w:val="00406D49"/>
    <w:rsid w:val="004072FF"/>
    <w:rsid w:val="00410EEB"/>
    <w:rsid w:val="0041594A"/>
    <w:rsid w:val="00420C88"/>
    <w:rsid w:val="00420F6D"/>
    <w:rsid w:val="00421126"/>
    <w:rsid w:val="00421C88"/>
    <w:rsid w:val="004220BD"/>
    <w:rsid w:val="00423924"/>
    <w:rsid w:val="00426FFB"/>
    <w:rsid w:val="00427D20"/>
    <w:rsid w:val="00432241"/>
    <w:rsid w:val="00446F18"/>
    <w:rsid w:val="00447199"/>
    <w:rsid w:val="00450B77"/>
    <w:rsid w:val="0045175D"/>
    <w:rsid w:val="004526BE"/>
    <w:rsid w:val="00453D79"/>
    <w:rsid w:val="00457D2C"/>
    <w:rsid w:val="004616B7"/>
    <w:rsid w:val="004654BF"/>
    <w:rsid w:val="004664EB"/>
    <w:rsid w:val="0047501B"/>
    <w:rsid w:val="004813E3"/>
    <w:rsid w:val="004817CC"/>
    <w:rsid w:val="0048389C"/>
    <w:rsid w:val="00484762"/>
    <w:rsid w:val="00484F6F"/>
    <w:rsid w:val="00485A85"/>
    <w:rsid w:val="00487301"/>
    <w:rsid w:val="0048743D"/>
    <w:rsid w:val="00490D61"/>
    <w:rsid w:val="004944C2"/>
    <w:rsid w:val="00494BFB"/>
    <w:rsid w:val="004A2D13"/>
    <w:rsid w:val="004A3066"/>
    <w:rsid w:val="004A3654"/>
    <w:rsid w:val="004A53EE"/>
    <w:rsid w:val="004A718A"/>
    <w:rsid w:val="004B0C21"/>
    <w:rsid w:val="004B178D"/>
    <w:rsid w:val="004B4F1A"/>
    <w:rsid w:val="004B56B0"/>
    <w:rsid w:val="004B76D9"/>
    <w:rsid w:val="004C5942"/>
    <w:rsid w:val="004C6C68"/>
    <w:rsid w:val="004C75F3"/>
    <w:rsid w:val="004C7C66"/>
    <w:rsid w:val="004D7339"/>
    <w:rsid w:val="004E086A"/>
    <w:rsid w:val="004E194B"/>
    <w:rsid w:val="004E6DB7"/>
    <w:rsid w:val="004F1C16"/>
    <w:rsid w:val="004F1F8F"/>
    <w:rsid w:val="004F2C15"/>
    <w:rsid w:val="004F353B"/>
    <w:rsid w:val="004F4F9C"/>
    <w:rsid w:val="004F5762"/>
    <w:rsid w:val="004F5E19"/>
    <w:rsid w:val="004F69E8"/>
    <w:rsid w:val="004F70E5"/>
    <w:rsid w:val="004F7888"/>
    <w:rsid w:val="00500CFE"/>
    <w:rsid w:val="0050294F"/>
    <w:rsid w:val="005033A1"/>
    <w:rsid w:val="0050375D"/>
    <w:rsid w:val="0050781D"/>
    <w:rsid w:val="005113E6"/>
    <w:rsid w:val="00512207"/>
    <w:rsid w:val="00521B44"/>
    <w:rsid w:val="00521E65"/>
    <w:rsid w:val="00525DBD"/>
    <w:rsid w:val="00526945"/>
    <w:rsid w:val="0053031D"/>
    <w:rsid w:val="00532478"/>
    <w:rsid w:val="005327F0"/>
    <w:rsid w:val="00534426"/>
    <w:rsid w:val="0053490D"/>
    <w:rsid w:val="005351E1"/>
    <w:rsid w:val="0053731C"/>
    <w:rsid w:val="00537B8F"/>
    <w:rsid w:val="005422F7"/>
    <w:rsid w:val="005472CD"/>
    <w:rsid w:val="005568F8"/>
    <w:rsid w:val="00560411"/>
    <w:rsid w:val="005622B3"/>
    <w:rsid w:val="005661C6"/>
    <w:rsid w:val="005678B9"/>
    <w:rsid w:val="005741D9"/>
    <w:rsid w:val="00577B18"/>
    <w:rsid w:val="00580A38"/>
    <w:rsid w:val="00581B51"/>
    <w:rsid w:val="00585800"/>
    <w:rsid w:val="00586DC8"/>
    <w:rsid w:val="00596F60"/>
    <w:rsid w:val="005A0980"/>
    <w:rsid w:val="005A1B4A"/>
    <w:rsid w:val="005A3179"/>
    <w:rsid w:val="005A54ED"/>
    <w:rsid w:val="005A5C9D"/>
    <w:rsid w:val="005A5F63"/>
    <w:rsid w:val="005A5FA5"/>
    <w:rsid w:val="005B4EAF"/>
    <w:rsid w:val="005B6ABB"/>
    <w:rsid w:val="005C454E"/>
    <w:rsid w:val="005D0C30"/>
    <w:rsid w:val="005D4D4B"/>
    <w:rsid w:val="005D548D"/>
    <w:rsid w:val="005E43DA"/>
    <w:rsid w:val="005F0C9E"/>
    <w:rsid w:val="005F35D5"/>
    <w:rsid w:val="00602CDA"/>
    <w:rsid w:val="0061236B"/>
    <w:rsid w:val="00612BA7"/>
    <w:rsid w:val="00612F4D"/>
    <w:rsid w:val="00616A27"/>
    <w:rsid w:val="00617188"/>
    <w:rsid w:val="00620A87"/>
    <w:rsid w:val="00621284"/>
    <w:rsid w:val="006252CF"/>
    <w:rsid w:val="0062548C"/>
    <w:rsid w:val="0062668B"/>
    <w:rsid w:val="00626FF7"/>
    <w:rsid w:val="00630E74"/>
    <w:rsid w:val="0063243D"/>
    <w:rsid w:val="00636989"/>
    <w:rsid w:val="0063785F"/>
    <w:rsid w:val="00640E26"/>
    <w:rsid w:val="0064422D"/>
    <w:rsid w:val="00646A9B"/>
    <w:rsid w:val="006501AF"/>
    <w:rsid w:val="0065104C"/>
    <w:rsid w:val="00652A2C"/>
    <w:rsid w:val="00653AB7"/>
    <w:rsid w:val="006563D4"/>
    <w:rsid w:val="00657213"/>
    <w:rsid w:val="00660C80"/>
    <w:rsid w:val="0066127F"/>
    <w:rsid w:val="0066767A"/>
    <w:rsid w:val="00670674"/>
    <w:rsid w:val="00677F3C"/>
    <w:rsid w:val="00682386"/>
    <w:rsid w:val="00687855"/>
    <w:rsid w:val="00687CF2"/>
    <w:rsid w:val="006927D6"/>
    <w:rsid w:val="006933D0"/>
    <w:rsid w:val="006A3367"/>
    <w:rsid w:val="006A6CBC"/>
    <w:rsid w:val="006A7003"/>
    <w:rsid w:val="006B07CA"/>
    <w:rsid w:val="006B46DB"/>
    <w:rsid w:val="006B4B9E"/>
    <w:rsid w:val="006B4D10"/>
    <w:rsid w:val="006B4FA4"/>
    <w:rsid w:val="006B68A6"/>
    <w:rsid w:val="006C2056"/>
    <w:rsid w:val="006C36A1"/>
    <w:rsid w:val="006C5333"/>
    <w:rsid w:val="006D0371"/>
    <w:rsid w:val="006D1F0E"/>
    <w:rsid w:val="006D5D4F"/>
    <w:rsid w:val="006D6C62"/>
    <w:rsid w:val="006D72F8"/>
    <w:rsid w:val="006DB67C"/>
    <w:rsid w:val="006E04BA"/>
    <w:rsid w:val="006E0973"/>
    <w:rsid w:val="006E1687"/>
    <w:rsid w:val="006E30E1"/>
    <w:rsid w:val="006E59BE"/>
    <w:rsid w:val="006E7A1B"/>
    <w:rsid w:val="006F1EF2"/>
    <w:rsid w:val="006F331B"/>
    <w:rsid w:val="006F3CBA"/>
    <w:rsid w:val="00706159"/>
    <w:rsid w:val="007061D6"/>
    <w:rsid w:val="0070719E"/>
    <w:rsid w:val="00713FA2"/>
    <w:rsid w:val="007166CA"/>
    <w:rsid w:val="00716FBC"/>
    <w:rsid w:val="00723025"/>
    <w:rsid w:val="0072489F"/>
    <w:rsid w:val="00730C5D"/>
    <w:rsid w:val="00733439"/>
    <w:rsid w:val="007346FE"/>
    <w:rsid w:val="00737EC0"/>
    <w:rsid w:val="007419F0"/>
    <w:rsid w:val="0074243E"/>
    <w:rsid w:val="007424EE"/>
    <w:rsid w:val="00744B10"/>
    <w:rsid w:val="007519C5"/>
    <w:rsid w:val="007526EA"/>
    <w:rsid w:val="00752EDE"/>
    <w:rsid w:val="007552BD"/>
    <w:rsid w:val="007568DE"/>
    <w:rsid w:val="0076202B"/>
    <w:rsid w:val="00771127"/>
    <w:rsid w:val="00772391"/>
    <w:rsid w:val="00773370"/>
    <w:rsid w:val="00774F3F"/>
    <w:rsid w:val="00775919"/>
    <w:rsid w:val="0077763E"/>
    <w:rsid w:val="00777D59"/>
    <w:rsid w:val="00782F15"/>
    <w:rsid w:val="00785593"/>
    <w:rsid w:val="007878C4"/>
    <w:rsid w:val="007971D0"/>
    <w:rsid w:val="007A1FC7"/>
    <w:rsid w:val="007A454A"/>
    <w:rsid w:val="007A4637"/>
    <w:rsid w:val="007A4B47"/>
    <w:rsid w:val="007B1128"/>
    <w:rsid w:val="007B25BB"/>
    <w:rsid w:val="007B5E30"/>
    <w:rsid w:val="007B786E"/>
    <w:rsid w:val="007C33F5"/>
    <w:rsid w:val="007C3C42"/>
    <w:rsid w:val="007C4CEC"/>
    <w:rsid w:val="007C6FD0"/>
    <w:rsid w:val="007D04F0"/>
    <w:rsid w:val="007D3083"/>
    <w:rsid w:val="007D3A0B"/>
    <w:rsid w:val="007D3B9B"/>
    <w:rsid w:val="007D46B3"/>
    <w:rsid w:val="007D49AD"/>
    <w:rsid w:val="007D4C11"/>
    <w:rsid w:val="007D74C7"/>
    <w:rsid w:val="007E33A5"/>
    <w:rsid w:val="007F2421"/>
    <w:rsid w:val="007F5882"/>
    <w:rsid w:val="00803894"/>
    <w:rsid w:val="0080758A"/>
    <w:rsid w:val="0081081A"/>
    <w:rsid w:val="00815DA2"/>
    <w:rsid w:val="008227FE"/>
    <w:rsid w:val="00822C19"/>
    <w:rsid w:val="00825817"/>
    <w:rsid w:val="00825937"/>
    <w:rsid w:val="00826E87"/>
    <w:rsid w:val="00832B45"/>
    <w:rsid w:val="008339B4"/>
    <w:rsid w:val="00834FBA"/>
    <w:rsid w:val="00842083"/>
    <w:rsid w:val="00843398"/>
    <w:rsid w:val="00847785"/>
    <w:rsid w:val="00851DF4"/>
    <w:rsid w:val="00852C2C"/>
    <w:rsid w:val="008568B6"/>
    <w:rsid w:val="00857DD2"/>
    <w:rsid w:val="00860073"/>
    <w:rsid w:val="00860E73"/>
    <w:rsid w:val="00864DD6"/>
    <w:rsid w:val="0086526C"/>
    <w:rsid w:val="0087152D"/>
    <w:rsid w:val="00871EF1"/>
    <w:rsid w:val="008728BA"/>
    <w:rsid w:val="00872DCE"/>
    <w:rsid w:val="00875FED"/>
    <w:rsid w:val="00881073"/>
    <w:rsid w:val="008824C6"/>
    <w:rsid w:val="00882CD1"/>
    <w:rsid w:val="0088337B"/>
    <w:rsid w:val="00895997"/>
    <w:rsid w:val="008963C8"/>
    <w:rsid w:val="00897B7D"/>
    <w:rsid w:val="008A0F6D"/>
    <w:rsid w:val="008A17D8"/>
    <w:rsid w:val="008A3116"/>
    <w:rsid w:val="008A7C9D"/>
    <w:rsid w:val="008B0992"/>
    <w:rsid w:val="008B33AF"/>
    <w:rsid w:val="008B436A"/>
    <w:rsid w:val="008C17DA"/>
    <w:rsid w:val="008C19D0"/>
    <w:rsid w:val="008C3645"/>
    <w:rsid w:val="008C7478"/>
    <w:rsid w:val="008C7E4F"/>
    <w:rsid w:val="008D0E72"/>
    <w:rsid w:val="008D18CA"/>
    <w:rsid w:val="008D2048"/>
    <w:rsid w:val="008D247E"/>
    <w:rsid w:val="008D2837"/>
    <w:rsid w:val="008D3AAF"/>
    <w:rsid w:val="008D3CD7"/>
    <w:rsid w:val="008D5061"/>
    <w:rsid w:val="008E08B3"/>
    <w:rsid w:val="008E475A"/>
    <w:rsid w:val="008E62AB"/>
    <w:rsid w:val="008E703B"/>
    <w:rsid w:val="008F26E6"/>
    <w:rsid w:val="008F39D0"/>
    <w:rsid w:val="008F3E9B"/>
    <w:rsid w:val="008F4159"/>
    <w:rsid w:val="008F58ED"/>
    <w:rsid w:val="008F5946"/>
    <w:rsid w:val="008F5A25"/>
    <w:rsid w:val="00903A83"/>
    <w:rsid w:val="00905753"/>
    <w:rsid w:val="009076DD"/>
    <w:rsid w:val="0092452A"/>
    <w:rsid w:val="009275E9"/>
    <w:rsid w:val="009319D7"/>
    <w:rsid w:val="00934C40"/>
    <w:rsid w:val="00935457"/>
    <w:rsid w:val="00935CD7"/>
    <w:rsid w:val="00935F8D"/>
    <w:rsid w:val="00936DAE"/>
    <w:rsid w:val="00941F39"/>
    <w:rsid w:val="00942C1D"/>
    <w:rsid w:val="009431D1"/>
    <w:rsid w:val="009445D4"/>
    <w:rsid w:val="009468D7"/>
    <w:rsid w:val="00950753"/>
    <w:rsid w:val="00950A45"/>
    <w:rsid w:val="00957D12"/>
    <w:rsid w:val="00962F56"/>
    <w:rsid w:val="00963DC3"/>
    <w:rsid w:val="00965410"/>
    <w:rsid w:val="00966B50"/>
    <w:rsid w:val="00967AD2"/>
    <w:rsid w:val="00970072"/>
    <w:rsid w:val="009705A8"/>
    <w:rsid w:val="009709DA"/>
    <w:rsid w:val="009709EB"/>
    <w:rsid w:val="00971306"/>
    <w:rsid w:val="0097390A"/>
    <w:rsid w:val="00974984"/>
    <w:rsid w:val="00975DFB"/>
    <w:rsid w:val="009766A7"/>
    <w:rsid w:val="0097752D"/>
    <w:rsid w:val="009801B4"/>
    <w:rsid w:val="00981E74"/>
    <w:rsid w:val="009820A8"/>
    <w:rsid w:val="009830C1"/>
    <w:rsid w:val="009854AA"/>
    <w:rsid w:val="009859B6"/>
    <w:rsid w:val="009877CC"/>
    <w:rsid w:val="00990D31"/>
    <w:rsid w:val="00996680"/>
    <w:rsid w:val="00997BC4"/>
    <w:rsid w:val="009A15CF"/>
    <w:rsid w:val="009A4028"/>
    <w:rsid w:val="009A51B7"/>
    <w:rsid w:val="009A571C"/>
    <w:rsid w:val="009A5EA0"/>
    <w:rsid w:val="009B083E"/>
    <w:rsid w:val="009B2848"/>
    <w:rsid w:val="009B2946"/>
    <w:rsid w:val="009B7683"/>
    <w:rsid w:val="009C1BDF"/>
    <w:rsid w:val="009C5065"/>
    <w:rsid w:val="009D0564"/>
    <w:rsid w:val="009D52E7"/>
    <w:rsid w:val="009D7747"/>
    <w:rsid w:val="009E075D"/>
    <w:rsid w:val="009E0A9B"/>
    <w:rsid w:val="009E2D93"/>
    <w:rsid w:val="009E2E2D"/>
    <w:rsid w:val="009E30E7"/>
    <w:rsid w:val="009E4077"/>
    <w:rsid w:val="009E56C4"/>
    <w:rsid w:val="009F0F44"/>
    <w:rsid w:val="009F1C57"/>
    <w:rsid w:val="009F22D0"/>
    <w:rsid w:val="009F362F"/>
    <w:rsid w:val="009F5615"/>
    <w:rsid w:val="009F66E4"/>
    <w:rsid w:val="00A00B1C"/>
    <w:rsid w:val="00A027FA"/>
    <w:rsid w:val="00A12262"/>
    <w:rsid w:val="00A13696"/>
    <w:rsid w:val="00A13CE5"/>
    <w:rsid w:val="00A14215"/>
    <w:rsid w:val="00A144B5"/>
    <w:rsid w:val="00A150C3"/>
    <w:rsid w:val="00A16B13"/>
    <w:rsid w:val="00A2081A"/>
    <w:rsid w:val="00A21389"/>
    <w:rsid w:val="00A21500"/>
    <w:rsid w:val="00A21DA4"/>
    <w:rsid w:val="00A232F2"/>
    <w:rsid w:val="00A23E66"/>
    <w:rsid w:val="00A240EB"/>
    <w:rsid w:val="00A2660A"/>
    <w:rsid w:val="00A26FA3"/>
    <w:rsid w:val="00A316E6"/>
    <w:rsid w:val="00A31F97"/>
    <w:rsid w:val="00A35933"/>
    <w:rsid w:val="00A40FF7"/>
    <w:rsid w:val="00A40FF9"/>
    <w:rsid w:val="00A41CDA"/>
    <w:rsid w:val="00A4267A"/>
    <w:rsid w:val="00A46276"/>
    <w:rsid w:val="00A462D0"/>
    <w:rsid w:val="00A474C0"/>
    <w:rsid w:val="00A50F69"/>
    <w:rsid w:val="00A51D1C"/>
    <w:rsid w:val="00A54933"/>
    <w:rsid w:val="00A549BC"/>
    <w:rsid w:val="00A616C6"/>
    <w:rsid w:val="00A62C5D"/>
    <w:rsid w:val="00A6503C"/>
    <w:rsid w:val="00A662F0"/>
    <w:rsid w:val="00A66F53"/>
    <w:rsid w:val="00A67645"/>
    <w:rsid w:val="00A67B89"/>
    <w:rsid w:val="00A7064F"/>
    <w:rsid w:val="00A73358"/>
    <w:rsid w:val="00A740E4"/>
    <w:rsid w:val="00A806D0"/>
    <w:rsid w:val="00A83094"/>
    <w:rsid w:val="00A929E3"/>
    <w:rsid w:val="00A93A22"/>
    <w:rsid w:val="00A97B03"/>
    <w:rsid w:val="00AA19F1"/>
    <w:rsid w:val="00AA6BED"/>
    <w:rsid w:val="00AB000D"/>
    <w:rsid w:val="00AB0252"/>
    <w:rsid w:val="00AB22F7"/>
    <w:rsid w:val="00AB3404"/>
    <w:rsid w:val="00AB4205"/>
    <w:rsid w:val="00AC5FA4"/>
    <w:rsid w:val="00AD1BEB"/>
    <w:rsid w:val="00AD2DA0"/>
    <w:rsid w:val="00AD7E0F"/>
    <w:rsid w:val="00AE0DFD"/>
    <w:rsid w:val="00AE6DF4"/>
    <w:rsid w:val="00AF1A35"/>
    <w:rsid w:val="00AF36A5"/>
    <w:rsid w:val="00AF4792"/>
    <w:rsid w:val="00AF500E"/>
    <w:rsid w:val="00AF6823"/>
    <w:rsid w:val="00B00E9E"/>
    <w:rsid w:val="00B05D1B"/>
    <w:rsid w:val="00B13D54"/>
    <w:rsid w:val="00B1636F"/>
    <w:rsid w:val="00B2105E"/>
    <w:rsid w:val="00B25DE6"/>
    <w:rsid w:val="00B27373"/>
    <w:rsid w:val="00B32660"/>
    <w:rsid w:val="00B34E5F"/>
    <w:rsid w:val="00B35840"/>
    <w:rsid w:val="00B35CE5"/>
    <w:rsid w:val="00B364C9"/>
    <w:rsid w:val="00B37D32"/>
    <w:rsid w:val="00B40AE3"/>
    <w:rsid w:val="00B40F61"/>
    <w:rsid w:val="00B43538"/>
    <w:rsid w:val="00B44D47"/>
    <w:rsid w:val="00B4646C"/>
    <w:rsid w:val="00B4782C"/>
    <w:rsid w:val="00B47BEE"/>
    <w:rsid w:val="00B53F22"/>
    <w:rsid w:val="00B54978"/>
    <w:rsid w:val="00B55E80"/>
    <w:rsid w:val="00B562D5"/>
    <w:rsid w:val="00B62B8C"/>
    <w:rsid w:val="00B62FC9"/>
    <w:rsid w:val="00B65855"/>
    <w:rsid w:val="00B672A5"/>
    <w:rsid w:val="00B67734"/>
    <w:rsid w:val="00B67DD7"/>
    <w:rsid w:val="00B75D92"/>
    <w:rsid w:val="00B7787A"/>
    <w:rsid w:val="00B81956"/>
    <w:rsid w:val="00B8227D"/>
    <w:rsid w:val="00B827F3"/>
    <w:rsid w:val="00B82FF1"/>
    <w:rsid w:val="00B83DBD"/>
    <w:rsid w:val="00B84C31"/>
    <w:rsid w:val="00B86D1D"/>
    <w:rsid w:val="00B90438"/>
    <w:rsid w:val="00B9060A"/>
    <w:rsid w:val="00B90FE4"/>
    <w:rsid w:val="00B97F88"/>
    <w:rsid w:val="00BA2D96"/>
    <w:rsid w:val="00BA3244"/>
    <w:rsid w:val="00BA4703"/>
    <w:rsid w:val="00BA47F0"/>
    <w:rsid w:val="00BA6EDD"/>
    <w:rsid w:val="00BA7D1D"/>
    <w:rsid w:val="00BB16A0"/>
    <w:rsid w:val="00BB2F07"/>
    <w:rsid w:val="00BB44FA"/>
    <w:rsid w:val="00BB571F"/>
    <w:rsid w:val="00BB72D1"/>
    <w:rsid w:val="00BB7A5D"/>
    <w:rsid w:val="00BC3B0D"/>
    <w:rsid w:val="00BC58AC"/>
    <w:rsid w:val="00BC5DFE"/>
    <w:rsid w:val="00BD046D"/>
    <w:rsid w:val="00BD103B"/>
    <w:rsid w:val="00BD27F6"/>
    <w:rsid w:val="00BD2C2B"/>
    <w:rsid w:val="00BD7C62"/>
    <w:rsid w:val="00BE1055"/>
    <w:rsid w:val="00BE241D"/>
    <w:rsid w:val="00BE5A49"/>
    <w:rsid w:val="00BE6011"/>
    <w:rsid w:val="00BF4673"/>
    <w:rsid w:val="00BF4C17"/>
    <w:rsid w:val="00BF5A97"/>
    <w:rsid w:val="00BF5DE0"/>
    <w:rsid w:val="00BF7334"/>
    <w:rsid w:val="00C01E08"/>
    <w:rsid w:val="00C01E74"/>
    <w:rsid w:val="00C10703"/>
    <w:rsid w:val="00C13B50"/>
    <w:rsid w:val="00C20334"/>
    <w:rsid w:val="00C23DED"/>
    <w:rsid w:val="00C43036"/>
    <w:rsid w:val="00C43E93"/>
    <w:rsid w:val="00C471BC"/>
    <w:rsid w:val="00C50161"/>
    <w:rsid w:val="00C51E39"/>
    <w:rsid w:val="00C523FB"/>
    <w:rsid w:val="00C53D07"/>
    <w:rsid w:val="00C569A6"/>
    <w:rsid w:val="00C56FFE"/>
    <w:rsid w:val="00C638AD"/>
    <w:rsid w:val="00C64975"/>
    <w:rsid w:val="00C66674"/>
    <w:rsid w:val="00C66EC9"/>
    <w:rsid w:val="00C7614E"/>
    <w:rsid w:val="00C76DED"/>
    <w:rsid w:val="00C778BB"/>
    <w:rsid w:val="00C77AD6"/>
    <w:rsid w:val="00C77E1D"/>
    <w:rsid w:val="00C81A67"/>
    <w:rsid w:val="00C85C7E"/>
    <w:rsid w:val="00C90D91"/>
    <w:rsid w:val="00C91574"/>
    <w:rsid w:val="00C915B2"/>
    <w:rsid w:val="00C91B99"/>
    <w:rsid w:val="00C925AB"/>
    <w:rsid w:val="00C93C2A"/>
    <w:rsid w:val="00C9465B"/>
    <w:rsid w:val="00C95326"/>
    <w:rsid w:val="00C958B1"/>
    <w:rsid w:val="00C97570"/>
    <w:rsid w:val="00CA0D95"/>
    <w:rsid w:val="00CA2186"/>
    <w:rsid w:val="00CA29E2"/>
    <w:rsid w:val="00CA4ECC"/>
    <w:rsid w:val="00CA526C"/>
    <w:rsid w:val="00CA66BC"/>
    <w:rsid w:val="00CA7866"/>
    <w:rsid w:val="00CB5B1C"/>
    <w:rsid w:val="00CB6AAC"/>
    <w:rsid w:val="00CB7443"/>
    <w:rsid w:val="00CC52EC"/>
    <w:rsid w:val="00CD0318"/>
    <w:rsid w:val="00CD1766"/>
    <w:rsid w:val="00CD2904"/>
    <w:rsid w:val="00CD3BEF"/>
    <w:rsid w:val="00CD659D"/>
    <w:rsid w:val="00CE1B5F"/>
    <w:rsid w:val="00CE4104"/>
    <w:rsid w:val="00CF04D2"/>
    <w:rsid w:val="00CF1288"/>
    <w:rsid w:val="00D07EA1"/>
    <w:rsid w:val="00D17A07"/>
    <w:rsid w:val="00D17C15"/>
    <w:rsid w:val="00D207C4"/>
    <w:rsid w:val="00D21725"/>
    <w:rsid w:val="00D2323E"/>
    <w:rsid w:val="00D244D6"/>
    <w:rsid w:val="00D251F5"/>
    <w:rsid w:val="00D26EA5"/>
    <w:rsid w:val="00D30300"/>
    <w:rsid w:val="00D31CAF"/>
    <w:rsid w:val="00D33532"/>
    <w:rsid w:val="00D37ACE"/>
    <w:rsid w:val="00D4006C"/>
    <w:rsid w:val="00D40929"/>
    <w:rsid w:val="00D4202B"/>
    <w:rsid w:val="00D47136"/>
    <w:rsid w:val="00D51C01"/>
    <w:rsid w:val="00D53EE3"/>
    <w:rsid w:val="00D56C5B"/>
    <w:rsid w:val="00D56CA8"/>
    <w:rsid w:val="00D600B5"/>
    <w:rsid w:val="00D618AB"/>
    <w:rsid w:val="00D61C60"/>
    <w:rsid w:val="00D63617"/>
    <w:rsid w:val="00D70A8E"/>
    <w:rsid w:val="00D713D3"/>
    <w:rsid w:val="00D72625"/>
    <w:rsid w:val="00D764A2"/>
    <w:rsid w:val="00D76886"/>
    <w:rsid w:val="00D80A1E"/>
    <w:rsid w:val="00D813CC"/>
    <w:rsid w:val="00D90DF5"/>
    <w:rsid w:val="00D9155E"/>
    <w:rsid w:val="00D92A85"/>
    <w:rsid w:val="00D94114"/>
    <w:rsid w:val="00D96829"/>
    <w:rsid w:val="00DA06FF"/>
    <w:rsid w:val="00DA1B3E"/>
    <w:rsid w:val="00DA2B63"/>
    <w:rsid w:val="00DA4262"/>
    <w:rsid w:val="00DA4595"/>
    <w:rsid w:val="00DA7A40"/>
    <w:rsid w:val="00DB1C15"/>
    <w:rsid w:val="00DB4ACD"/>
    <w:rsid w:val="00DC0503"/>
    <w:rsid w:val="00DC0E78"/>
    <w:rsid w:val="00DC3961"/>
    <w:rsid w:val="00DC4BDC"/>
    <w:rsid w:val="00DC4E6D"/>
    <w:rsid w:val="00DC5A71"/>
    <w:rsid w:val="00DC64F8"/>
    <w:rsid w:val="00DC70A9"/>
    <w:rsid w:val="00DC7BA3"/>
    <w:rsid w:val="00DD3A1D"/>
    <w:rsid w:val="00DD40E5"/>
    <w:rsid w:val="00DD5A6D"/>
    <w:rsid w:val="00DD70EE"/>
    <w:rsid w:val="00DE0C59"/>
    <w:rsid w:val="00DE1864"/>
    <w:rsid w:val="00DE2CB7"/>
    <w:rsid w:val="00DE34FE"/>
    <w:rsid w:val="00DE4063"/>
    <w:rsid w:val="00DE47B2"/>
    <w:rsid w:val="00DE5A7E"/>
    <w:rsid w:val="00DE699D"/>
    <w:rsid w:val="00DE7C77"/>
    <w:rsid w:val="00DF1B15"/>
    <w:rsid w:val="00DF1CF2"/>
    <w:rsid w:val="00DF67BB"/>
    <w:rsid w:val="00DF73D8"/>
    <w:rsid w:val="00DF7A09"/>
    <w:rsid w:val="00E051A5"/>
    <w:rsid w:val="00E134F9"/>
    <w:rsid w:val="00E14CBC"/>
    <w:rsid w:val="00E21094"/>
    <w:rsid w:val="00E22B0C"/>
    <w:rsid w:val="00E3185E"/>
    <w:rsid w:val="00E358BE"/>
    <w:rsid w:val="00E36692"/>
    <w:rsid w:val="00E3720F"/>
    <w:rsid w:val="00E37D1C"/>
    <w:rsid w:val="00E408F1"/>
    <w:rsid w:val="00E441A3"/>
    <w:rsid w:val="00E47A76"/>
    <w:rsid w:val="00E502EA"/>
    <w:rsid w:val="00E56E27"/>
    <w:rsid w:val="00E57E7E"/>
    <w:rsid w:val="00E60469"/>
    <w:rsid w:val="00E63318"/>
    <w:rsid w:val="00E65488"/>
    <w:rsid w:val="00E65F1F"/>
    <w:rsid w:val="00E6790A"/>
    <w:rsid w:val="00E71611"/>
    <w:rsid w:val="00E739D4"/>
    <w:rsid w:val="00E75C65"/>
    <w:rsid w:val="00E76C28"/>
    <w:rsid w:val="00E77167"/>
    <w:rsid w:val="00E82E6F"/>
    <w:rsid w:val="00E844E9"/>
    <w:rsid w:val="00E84845"/>
    <w:rsid w:val="00E85BC8"/>
    <w:rsid w:val="00E9095E"/>
    <w:rsid w:val="00E944A7"/>
    <w:rsid w:val="00E94848"/>
    <w:rsid w:val="00E972C4"/>
    <w:rsid w:val="00EA3BC8"/>
    <w:rsid w:val="00EA4432"/>
    <w:rsid w:val="00EB279B"/>
    <w:rsid w:val="00EB284C"/>
    <w:rsid w:val="00EB60BE"/>
    <w:rsid w:val="00EB760F"/>
    <w:rsid w:val="00EB7BF6"/>
    <w:rsid w:val="00EC1EC7"/>
    <w:rsid w:val="00EC3076"/>
    <w:rsid w:val="00ED49D8"/>
    <w:rsid w:val="00ED6444"/>
    <w:rsid w:val="00ED7EFA"/>
    <w:rsid w:val="00EE0469"/>
    <w:rsid w:val="00EE3823"/>
    <w:rsid w:val="00EE4851"/>
    <w:rsid w:val="00EE6BCA"/>
    <w:rsid w:val="00EF03B2"/>
    <w:rsid w:val="00EF217F"/>
    <w:rsid w:val="00EF390F"/>
    <w:rsid w:val="00EF3DAB"/>
    <w:rsid w:val="00EF50A5"/>
    <w:rsid w:val="00EF6054"/>
    <w:rsid w:val="00EF7F63"/>
    <w:rsid w:val="00F013F7"/>
    <w:rsid w:val="00F04EB7"/>
    <w:rsid w:val="00F0718C"/>
    <w:rsid w:val="00F102F0"/>
    <w:rsid w:val="00F106FA"/>
    <w:rsid w:val="00F10A0B"/>
    <w:rsid w:val="00F11369"/>
    <w:rsid w:val="00F1564E"/>
    <w:rsid w:val="00F17FF9"/>
    <w:rsid w:val="00F214F2"/>
    <w:rsid w:val="00F22C10"/>
    <w:rsid w:val="00F23A82"/>
    <w:rsid w:val="00F26938"/>
    <w:rsid w:val="00F366DF"/>
    <w:rsid w:val="00F36C18"/>
    <w:rsid w:val="00F377DB"/>
    <w:rsid w:val="00F412CE"/>
    <w:rsid w:val="00F42AD5"/>
    <w:rsid w:val="00F4588C"/>
    <w:rsid w:val="00F45E3E"/>
    <w:rsid w:val="00F46393"/>
    <w:rsid w:val="00F46D7C"/>
    <w:rsid w:val="00F53621"/>
    <w:rsid w:val="00F53D5A"/>
    <w:rsid w:val="00F55031"/>
    <w:rsid w:val="00F60930"/>
    <w:rsid w:val="00F61DD8"/>
    <w:rsid w:val="00F626D6"/>
    <w:rsid w:val="00F66E70"/>
    <w:rsid w:val="00F707AF"/>
    <w:rsid w:val="00F72DB1"/>
    <w:rsid w:val="00F775CD"/>
    <w:rsid w:val="00F80378"/>
    <w:rsid w:val="00F806A3"/>
    <w:rsid w:val="00F82783"/>
    <w:rsid w:val="00F84CA7"/>
    <w:rsid w:val="00F85DCC"/>
    <w:rsid w:val="00F86579"/>
    <w:rsid w:val="00F92C3F"/>
    <w:rsid w:val="00F94065"/>
    <w:rsid w:val="00F949EE"/>
    <w:rsid w:val="00F965F0"/>
    <w:rsid w:val="00FA1F40"/>
    <w:rsid w:val="00FA237F"/>
    <w:rsid w:val="00FA3D90"/>
    <w:rsid w:val="00FA6056"/>
    <w:rsid w:val="00FA69D0"/>
    <w:rsid w:val="00FA69DC"/>
    <w:rsid w:val="00FB0269"/>
    <w:rsid w:val="00FB1CCD"/>
    <w:rsid w:val="00FB281C"/>
    <w:rsid w:val="00FB5682"/>
    <w:rsid w:val="00FC1BDB"/>
    <w:rsid w:val="00FC509B"/>
    <w:rsid w:val="00FC55FA"/>
    <w:rsid w:val="00FC612C"/>
    <w:rsid w:val="00FC6702"/>
    <w:rsid w:val="00FD1A99"/>
    <w:rsid w:val="00FD23C3"/>
    <w:rsid w:val="00FD4B17"/>
    <w:rsid w:val="00FE1FC4"/>
    <w:rsid w:val="00FE610B"/>
    <w:rsid w:val="00FE62B8"/>
    <w:rsid w:val="00FE6C46"/>
    <w:rsid w:val="00FE6E9F"/>
    <w:rsid w:val="00FF2C44"/>
    <w:rsid w:val="00FF4732"/>
    <w:rsid w:val="01C02E4C"/>
    <w:rsid w:val="0212C34D"/>
    <w:rsid w:val="022A343A"/>
    <w:rsid w:val="0247E9FB"/>
    <w:rsid w:val="0251BB49"/>
    <w:rsid w:val="0265AA1C"/>
    <w:rsid w:val="026B6FA1"/>
    <w:rsid w:val="02E18F43"/>
    <w:rsid w:val="03654589"/>
    <w:rsid w:val="0378A6CA"/>
    <w:rsid w:val="040A06A2"/>
    <w:rsid w:val="04395C6E"/>
    <w:rsid w:val="0458DD89"/>
    <w:rsid w:val="045C1BA2"/>
    <w:rsid w:val="058CDB63"/>
    <w:rsid w:val="05B84651"/>
    <w:rsid w:val="061C9B53"/>
    <w:rsid w:val="061CAAFE"/>
    <w:rsid w:val="062C825D"/>
    <w:rsid w:val="078BAF94"/>
    <w:rsid w:val="07CEE64F"/>
    <w:rsid w:val="07E8F123"/>
    <w:rsid w:val="07F4A739"/>
    <w:rsid w:val="0847CD70"/>
    <w:rsid w:val="088AE7FD"/>
    <w:rsid w:val="088F106D"/>
    <w:rsid w:val="08DA3DE7"/>
    <w:rsid w:val="0945E538"/>
    <w:rsid w:val="094B99C4"/>
    <w:rsid w:val="09733DD3"/>
    <w:rsid w:val="09AD1D82"/>
    <w:rsid w:val="09F3E47E"/>
    <w:rsid w:val="0A194AC1"/>
    <w:rsid w:val="0A2409A7"/>
    <w:rsid w:val="0A9D3A53"/>
    <w:rsid w:val="0AB5DA59"/>
    <w:rsid w:val="0AD85673"/>
    <w:rsid w:val="0B28EBE6"/>
    <w:rsid w:val="0B794FCF"/>
    <w:rsid w:val="0B99B72F"/>
    <w:rsid w:val="0BE61655"/>
    <w:rsid w:val="0C0B6CE6"/>
    <w:rsid w:val="0C68FDFE"/>
    <w:rsid w:val="0C955B74"/>
    <w:rsid w:val="0CB6CAF3"/>
    <w:rsid w:val="0CC56B4E"/>
    <w:rsid w:val="0CF865E5"/>
    <w:rsid w:val="0D0E00E1"/>
    <w:rsid w:val="0D0E870C"/>
    <w:rsid w:val="0D5F52EC"/>
    <w:rsid w:val="0D9179BF"/>
    <w:rsid w:val="0DB8A2A5"/>
    <w:rsid w:val="0E239672"/>
    <w:rsid w:val="0E4817F2"/>
    <w:rsid w:val="0ECCA8B0"/>
    <w:rsid w:val="0EF44092"/>
    <w:rsid w:val="0FC62CA0"/>
    <w:rsid w:val="0FC9ADB0"/>
    <w:rsid w:val="0FFB0C09"/>
    <w:rsid w:val="101D250F"/>
    <w:rsid w:val="10525396"/>
    <w:rsid w:val="10638389"/>
    <w:rsid w:val="108DCC28"/>
    <w:rsid w:val="10C2235B"/>
    <w:rsid w:val="10D4D8CD"/>
    <w:rsid w:val="10DBD33F"/>
    <w:rsid w:val="10E7B7E2"/>
    <w:rsid w:val="11C4CC4D"/>
    <w:rsid w:val="11FBFF8C"/>
    <w:rsid w:val="120DFCA4"/>
    <w:rsid w:val="121A221D"/>
    <w:rsid w:val="12484A3D"/>
    <w:rsid w:val="125D52A7"/>
    <w:rsid w:val="12722B53"/>
    <w:rsid w:val="1299173D"/>
    <w:rsid w:val="12B5A8A6"/>
    <w:rsid w:val="12F770D1"/>
    <w:rsid w:val="12FBE0D8"/>
    <w:rsid w:val="1320596B"/>
    <w:rsid w:val="133944FD"/>
    <w:rsid w:val="139DE080"/>
    <w:rsid w:val="13A43325"/>
    <w:rsid w:val="146BD401"/>
    <w:rsid w:val="149B32CB"/>
    <w:rsid w:val="14BDC159"/>
    <w:rsid w:val="1578A7D7"/>
    <w:rsid w:val="15838AE0"/>
    <w:rsid w:val="16805BAA"/>
    <w:rsid w:val="17000A66"/>
    <w:rsid w:val="1739F3CE"/>
    <w:rsid w:val="1830D0FA"/>
    <w:rsid w:val="1872B270"/>
    <w:rsid w:val="187C6479"/>
    <w:rsid w:val="18C7ECF6"/>
    <w:rsid w:val="18E12602"/>
    <w:rsid w:val="18E7CE4A"/>
    <w:rsid w:val="19084C53"/>
    <w:rsid w:val="1987F3C0"/>
    <w:rsid w:val="19BEFF48"/>
    <w:rsid w:val="19CC0FB8"/>
    <w:rsid w:val="1A0F8869"/>
    <w:rsid w:val="1A2C4634"/>
    <w:rsid w:val="1AA1395C"/>
    <w:rsid w:val="1B0CCD71"/>
    <w:rsid w:val="1B411EC0"/>
    <w:rsid w:val="1BC01CBE"/>
    <w:rsid w:val="1BC877DC"/>
    <w:rsid w:val="1BE27D16"/>
    <w:rsid w:val="1BF7EBD3"/>
    <w:rsid w:val="1C53C65C"/>
    <w:rsid w:val="1C67A586"/>
    <w:rsid w:val="1D0B9107"/>
    <w:rsid w:val="1DA33B89"/>
    <w:rsid w:val="1DCB5EFD"/>
    <w:rsid w:val="1DF0FA40"/>
    <w:rsid w:val="1E114D21"/>
    <w:rsid w:val="1E8B0912"/>
    <w:rsid w:val="1FF137EE"/>
    <w:rsid w:val="2002FB9D"/>
    <w:rsid w:val="200A110F"/>
    <w:rsid w:val="20126C59"/>
    <w:rsid w:val="204168B4"/>
    <w:rsid w:val="20C3AF7F"/>
    <w:rsid w:val="212D27A6"/>
    <w:rsid w:val="21689335"/>
    <w:rsid w:val="21BB9931"/>
    <w:rsid w:val="22019791"/>
    <w:rsid w:val="22B851B7"/>
    <w:rsid w:val="22D0F3B7"/>
    <w:rsid w:val="22FA7251"/>
    <w:rsid w:val="2320A2F1"/>
    <w:rsid w:val="23398C5C"/>
    <w:rsid w:val="2346538A"/>
    <w:rsid w:val="234F81C3"/>
    <w:rsid w:val="23925BA2"/>
    <w:rsid w:val="241208BA"/>
    <w:rsid w:val="2421D9CC"/>
    <w:rsid w:val="24281425"/>
    <w:rsid w:val="246B333F"/>
    <w:rsid w:val="247D46C6"/>
    <w:rsid w:val="248F54F4"/>
    <w:rsid w:val="249A2AC2"/>
    <w:rsid w:val="24C7F354"/>
    <w:rsid w:val="24CE4198"/>
    <w:rsid w:val="24E1D605"/>
    <w:rsid w:val="2585F9CD"/>
    <w:rsid w:val="2591CA50"/>
    <w:rsid w:val="25AC0004"/>
    <w:rsid w:val="261000D1"/>
    <w:rsid w:val="261FDC28"/>
    <w:rsid w:val="26C2F1FD"/>
    <w:rsid w:val="27074412"/>
    <w:rsid w:val="2771ECF5"/>
    <w:rsid w:val="27754741"/>
    <w:rsid w:val="27B4FCF6"/>
    <w:rsid w:val="27F01E9A"/>
    <w:rsid w:val="27FF4075"/>
    <w:rsid w:val="28390557"/>
    <w:rsid w:val="283F0251"/>
    <w:rsid w:val="285B530C"/>
    <w:rsid w:val="285E94A8"/>
    <w:rsid w:val="28DCAE31"/>
    <w:rsid w:val="2908D52E"/>
    <w:rsid w:val="29DB1434"/>
    <w:rsid w:val="2A0D86B4"/>
    <w:rsid w:val="2A43FB7E"/>
    <w:rsid w:val="2A7FBD82"/>
    <w:rsid w:val="2AD105EB"/>
    <w:rsid w:val="2AFCEBDA"/>
    <w:rsid w:val="2B3F0AD8"/>
    <w:rsid w:val="2BABC0E7"/>
    <w:rsid w:val="2BC1E81A"/>
    <w:rsid w:val="2C4AA2FC"/>
    <w:rsid w:val="2C757BD0"/>
    <w:rsid w:val="2CCA6B13"/>
    <w:rsid w:val="2D1BEF1B"/>
    <w:rsid w:val="2D2CB687"/>
    <w:rsid w:val="2D56730C"/>
    <w:rsid w:val="2D6A5D77"/>
    <w:rsid w:val="2DAD1E00"/>
    <w:rsid w:val="2DECB552"/>
    <w:rsid w:val="2E7FC277"/>
    <w:rsid w:val="2EF38F32"/>
    <w:rsid w:val="2EFAA398"/>
    <w:rsid w:val="2F3D2539"/>
    <w:rsid w:val="2F8EB2FB"/>
    <w:rsid w:val="2FE6C7C3"/>
    <w:rsid w:val="2FEA341A"/>
    <w:rsid w:val="309F4D0E"/>
    <w:rsid w:val="30A9ECD1"/>
    <w:rsid w:val="30C47AEB"/>
    <w:rsid w:val="30CFF5A9"/>
    <w:rsid w:val="30F07443"/>
    <w:rsid w:val="30FE468B"/>
    <w:rsid w:val="31B2ECFD"/>
    <w:rsid w:val="31B48074"/>
    <w:rsid w:val="328A581C"/>
    <w:rsid w:val="3292D6CF"/>
    <w:rsid w:val="32C70EC1"/>
    <w:rsid w:val="32D52E73"/>
    <w:rsid w:val="33435FD8"/>
    <w:rsid w:val="33AA9CEB"/>
    <w:rsid w:val="34E24F6B"/>
    <w:rsid w:val="34E36A38"/>
    <w:rsid w:val="352A5CB1"/>
    <w:rsid w:val="35360763"/>
    <w:rsid w:val="3542D420"/>
    <w:rsid w:val="3589EA42"/>
    <w:rsid w:val="35F8871C"/>
    <w:rsid w:val="363B4B4E"/>
    <w:rsid w:val="367013C4"/>
    <w:rsid w:val="36A889D3"/>
    <w:rsid w:val="36AD0937"/>
    <w:rsid w:val="38040127"/>
    <w:rsid w:val="3823855B"/>
    <w:rsid w:val="383D0F4D"/>
    <w:rsid w:val="3846B412"/>
    <w:rsid w:val="38D08A89"/>
    <w:rsid w:val="38D720F6"/>
    <w:rsid w:val="3900EBBC"/>
    <w:rsid w:val="390A89A2"/>
    <w:rsid w:val="390B31CE"/>
    <w:rsid w:val="391FD724"/>
    <w:rsid w:val="392FEF9E"/>
    <w:rsid w:val="395E9A56"/>
    <w:rsid w:val="39852F60"/>
    <w:rsid w:val="39AEFB6E"/>
    <w:rsid w:val="39B0506C"/>
    <w:rsid w:val="39FDFF8C"/>
    <w:rsid w:val="3A8EBBDB"/>
    <w:rsid w:val="3ADFDFE5"/>
    <w:rsid w:val="3AF28F05"/>
    <w:rsid w:val="3B4D0517"/>
    <w:rsid w:val="3C0FFEE4"/>
    <w:rsid w:val="3C13BB87"/>
    <w:rsid w:val="3C1D9F82"/>
    <w:rsid w:val="3C34C18A"/>
    <w:rsid w:val="3C5000A7"/>
    <w:rsid w:val="3C642A88"/>
    <w:rsid w:val="3C97274A"/>
    <w:rsid w:val="3CFC014F"/>
    <w:rsid w:val="3CFF3608"/>
    <w:rsid w:val="3D2195E6"/>
    <w:rsid w:val="3D626C8E"/>
    <w:rsid w:val="3D8694BF"/>
    <w:rsid w:val="3DA4B4E6"/>
    <w:rsid w:val="3DB00879"/>
    <w:rsid w:val="3ED3E78A"/>
    <w:rsid w:val="3EFDBD67"/>
    <w:rsid w:val="3FDCE0B0"/>
    <w:rsid w:val="400133F2"/>
    <w:rsid w:val="40A79188"/>
    <w:rsid w:val="41513509"/>
    <w:rsid w:val="415AF6A6"/>
    <w:rsid w:val="415B641C"/>
    <w:rsid w:val="42394810"/>
    <w:rsid w:val="424CAB58"/>
    <w:rsid w:val="42762332"/>
    <w:rsid w:val="42891692"/>
    <w:rsid w:val="42E5BA45"/>
    <w:rsid w:val="435329AC"/>
    <w:rsid w:val="43DC8268"/>
    <w:rsid w:val="43EB2776"/>
    <w:rsid w:val="43EB37AA"/>
    <w:rsid w:val="44001381"/>
    <w:rsid w:val="44DF3D26"/>
    <w:rsid w:val="4515132F"/>
    <w:rsid w:val="45E78A3B"/>
    <w:rsid w:val="460104BC"/>
    <w:rsid w:val="464B6DDF"/>
    <w:rsid w:val="465E1DC8"/>
    <w:rsid w:val="46AF8336"/>
    <w:rsid w:val="46FA7684"/>
    <w:rsid w:val="4704BAD9"/>
    <w:rsid w:val="472A390B"/>
    <w:rsid w:val="4795C1B9"/>
    <w:rsid w:val="47EC20E4"/>
    <w:rsid w:val="4815A157"/>
    <w:rsid w:val="4898556D"/>
    <w:rsid w:val="48AEBBE2"/>
    <w:rsid w:val="48EB859F"/>
    <w:rsid w:val="48EE5E8E"/>
    <w:rsid w:val="49077AEE"/>
    <w:rsid w:val="49157F66"/>
    <w:rsid w:val="4916CB11"/>
    <w:rsid w:val="4948D5C7"/>
    <w:rsid w:val="49A326BF"/>
    <w:rsid w:val="4A1D85C5"/>
    <w:rsid w:val="4A848453"/>
    <w:rsid w:val="4ADC5BC9"/>
    <w:rsid w:val="4B0CD270"/>
    <w:rsid w:val="4B54CC49"/>
    <w:rsid w:val="4BAC2F68"/>
    <w:rsid w:val="4C5B21C4"/>
    <w:rsid w:val="4CC0CBA7"/>
    <w:rsid w:val="4CEAA1B7"/>
    <w:rsid w:val="4D2BB0C2"/>
    <w:rsid w:val="4D545168"/>
    <w:rsid w:val="4D6486C3"/>
    <w:rsid w:val="4D7D354E"/>
    <w:rsid w:val="4E020532"/>
    <w:rsid w:val="4E8D55D7"/>
    <w:rsid w:val="4E9E4710"/>
    <w:rsid w:val="4EBA8501"/>
    <w:rsid w:val="4F52884E"/>
    <w:rsid w:val="4F67E85E"/>
    <w:rsid w:val="505277DF"/>
    <w:rsid w:val="50F17AEA"/>
    <w:rsid w:val="51443AF1"/>
    <w:rsid w:val="51873C74"/>
    <w:rsid w:val="51B00D6A"/>
    <w:rsid w:val="51CA0C0D"/>
    <w:rsid w:val="520B3777"/>
    <w:rsid w:val="5240691C"/>
    <w:rsid w:val="52BAE9F3"/>
    <w:rsid w:val="52DC66CD"/>
    <w:rsid w:val="531D37F4"/>
    <w:rsid w:val="532C0EE3"/>
    <w:rsid w:val="5384E176"/>
    <w:rsid w:val="53C2814D"/>
    <w:rsid w:val="53E87B17"/>
    <w:rsid w:val="53F43631"/>
    <w:rsid w:val="540675C5"/>
    <w:rsid w:val="546CB877"/>
    <w:rsid w:val="54703065"/>
    <w:rsid w:val="55295D4A"/>
    <w:rsid w:val="553178F4"/>
    <w:rsid w:val="557E0F7A"/>
    <w:rsid w:val="55A67B7F"/>
    <w:rsid w:val="55C40A0F"/>
    <w:rsid w:val="55E72D3B"/>
    <w:rsid w:val="566A15B9"/>
    <w:rsid w:val="57E6E0E3"/>
    <w:rsid w:val="58EFC78B"/>
    <w:rsid w:val="5950D2E1"/>
    <w:rsid w:val="5973183D"/>
    <w:rsid w:val="599F51E1"/>
    <w:rsid w:val="59D034D5"/>
    <w:rsid w:val="5A0FFF48"/>
    <w:rsid w:val="5A8D58F9"/>
    <w:rsid w:val="5AC03663"/>
    <w:rsid w:val="5AD00CB3"/>
    <w:rsid w:val="5AEE02DA"/>
    <w:rsid w:val="5B0404E7"/>
    <w:rsid w:val="5B188EB7"/>
    <w:rsid w:val="5B6B2F73"/>
    <w:rsid w:val="5BEC5456"/>
    <w:rsid w:val="5C88FFC3"/>
    <w:rsid w:val="5C96FE96"/>
    <w:rsid w:val="5CAEF9BF"/>
    <w:rsid w:val="5CBEFD57"/>
    <w:rsid w:val="5CC53F91"/>
    <w:rsid w:val="5D7C37D3"/>
    <w:rsid w:val="5D9CDAA3"/>
    <w:rsid w:val="5DE90623"/>
    <w:rsid w:val="5E451B49"/>
    <w:rsid w:val="5E88AD4F"/>
    <w:rsid w:val="5F18B3E4"/>
    <w:rsid w:val="5F1C1A35"/>
    <w:rsid w:val="5F5EDFEF"/>
    <w:rsid w:val="6095DDEC"/>
    <w:rsid w:val="60EAE5B3"/>
    <w:rsid w:val="610D5A9B"/>
    <w:rsid w:val="611404DF"/>
    <w:rsid w:val="616E2CB8"/>
    <w:rsid w:val="61FEC481"/>
    <w:rsid w:val="62ABAE86"/>
    <w:rsid w:val="62E898DA"/>
    <w:rsid w:val="62F3159E"/>
    <w:rsid w:val="62F3BD4C"/>
    <w:rsid w:val="631EEEF2"/>
    <w:rsid w:val="63B4B426"/>
    <w:rsid w:val="6437A81E"/>
    <w:rsid w:val="6445166B"/>
    <w:rsid w:val="645EF8E7"/>
    <w:rsid w:val="64B62D63"/>
    <w:rsid w:val="64FB6772"/>
    <w:rsid w:val="659891D9"/>
    <w:rsid w:val="6652D123"/>
    <w:rsid w:val="66B9700D"/>
    <w:rsid w:val="66BEB490"/>
    <w:rsid w:val="675F72B9"/>
    <w:rsid w:val="679936FC"/>
    <w:rsid w:val="6804BC83"/>
    <w:rsid w:val="6808D491"/>
    <w:rsid w:val="68151FFB"/>
    <w:rsid w:val="685EC18C"/>
    <w:rsid w:val="68DE1E92"/>
    <w:rsid w:val="690BFB2F"/>
    <w:rsid w:val="6990D934"/>
    <w:rsid w:val="69EDBA08"/>
    <w:rsid w:val="6A0D1922"/>
    <w:rsid w:val="6A5533AD"/>
    <w:rsid w:val="6AB43E20"/>
    <w:rsid w:val="6ACBCFA8"/>
    <w:rsid w:val="6ADD440F"/>
    <w:rsid w:val="6B1D420D"/>
    <w:rsid w:val="6B392D7E"/>
    <w:rsid w:val="6C16FBB4"/>
    <w:rsid w:val="6C5AD63D"/>
    <w:rsid w:val="6CD63264"/>
    <w:rsid w:val="6CFE4E14"/>
    <w:rsid w:val="6D4204CF"/>
    <w:rsid w:val="6D7B3873"/>
    <w:rsid w:val="6D9827DE"/>
    <w:rsid w:val="6DAEEB99"/>
    <w:rsid w:val="6DBAAA18"/>
    <w:rsid w:val="6DCCC97C"/>
    <w:rsid w:val="6E663FC7"/>
    <w:rsid w:val="6EFBCEDA"/>
    <w:rsid w:val="6F4CE6E8"/>
    <w:rsid w:val="6F649A97"/>
    <w:rsid w:val="6F932149"/>
    <w:rsid w:val="6FE91011"/>
    <w:rsid w:val="7000A23F"/>
    <w:rsid w:val="70992109"/>
    <w:rsid w:val="70C364DF"/>
    <w:rsid w:val="70CD3B70"/>
    <w:rsid w:val="70DEEC6A"/>
    <w:rsid w:val="715AD8D7"/>
    <w:rsid w:val="71709BD7"/>
    <w:rsid w:val="71BD26A1"/>
    <w:rsid w:val="7233AC6B"/>
    <w:rsid w:val="725F3D47"/>
    <w:rsid w:val="72F22FF9"/>
    <w:rsid w:val="733698C5"/>
    <w:rsid w:val="73BA8D60"/>
    <w:rsid w:val="73E57F54"/>
    <w:rsid w:val="746D16F7"/>
    <w:rsid w:val="74E5A699"/>
    <w:rsid w:val="758F1646"/>
    <w:rsid w:val="75B98E82"/>
    <w:rsid w:val="7679DA08"/>
    <w:rsid w:val="777E829A"/>
    <w:rsid w:val="779F820A"/>
    <w:rsid w:val="77F7DC85"/>
    <w:rsid w:val="781DE544"/>
    <w:rsid w:val="7823546C"/>
    <w:rsid w:val="7836E437"/>
    <w:rsid w:val="7846EAAB"/>
    <w:rsid w:val="78488664"/>
    <w:rsid w:val="7855316D"/>
    <w:rsid w:val="78692771"/>
    <w:rsid w:val="787D0A49"/>
    <w:rsid w:val="7884917D"/>
    <w:rsid w:val="78DE941C"/>
    <w:rsid w:val="78F2B364"/>
    <w:rsid w:val="798C9AD5"/>
    <w:rsid w:val="7A8ABF12"/>
    <w:rsid w:val="7AD2360D"/>
    <w:rsid w:val="7B7DE1C2"/>
    <w:rsid w:val="7C26D77F"/>
    <w:rsid w:val="7C35369F"/>
    <w:rsid w:val="7C353C0F"/>
    <w:rsid w:val="7C5A7F93"/>
    <w:rsid w:val="7C73F353"/>
    <w:rsid w:val="7C8628C6"/>
    <w:rsid w:val="7CF0A3D8"/>
    <w:rsid w:val="7D7332FA"/>
    <w:rsid w:val="7D965CD0"/>
    <w:rsid w:val="7DA57B0A"/>
    <w:rsid w:val="7E02BCA4"/>
    <w:rsid w:val="7E1640F0"/>
    <w:rsid w:val="7E21BE0A"/>
    <w:rsid w:val="7F5905E4"/>
    <w:rsid w:val="7F694DAC"/>
    <w:rsid w:val="7FBCD3A0"/>
    <w:rsid w:val="7FD09040"/>
    <w:rsid w:val="7FE2A2E5"/>
    <w:rsid w:val="7FEB10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A5777"/>
  <w15:chartTrackingRefBased/>
  <w15:docId w15:val="{1BBA6A03-B953-4832-A36E-6EC74E91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386"/>
    <w:pPr>
      <w:spacing w:after="0" w:line="240" w:lineRule="auto"/>
    </w:pPr>
    <w:rPr>
      <w:rFonts w:ascii="Arial" w:hAnsi="Arial"/>
      <w:sz w:val="24"/>
    </w:rPr>
  </w:style>
  <w:style w:type="paragraph" w:styleId="Heading4">
    <w:name w:val="heading 4"/>
    <w:basedOn w:val="Normal"/>
    <w:next w:val="Normal"/>
    <w:link w:val="Heading4Char"/>
    <w:uiPriority w:val="9"/>
    <w:semiHidden/>
    <w:unhideWhenUsed/>
    <w:qFormat/>
    <w:rsid w:val="000D4D3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031"/>
    <w:rPr>
      <w:color w:val="0000FF"/>
      <w:u w:val="single"/>
    </w:rPr>
  </w:style>
  <w:style w:type="paragraph" w:customStyle="1" w:styleId="Default">
    <w:name w:val="Default"/>
    <w:rsid w:val="00F5503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55031"/>
    <w:rPr>
      <w:color w:val="605E5C"/>
      <w:shd w:val="clear" w:color="auto" w:fill="E1DFDD"/>
    </w:rPr>
  </w:style>
  <w:style w:type="table" w:styleId="TableGrid">
    <w:name w:val="Table Grid"/>
    <w:basedOn w:val="TableNormal"/>
    <w:uiPriority w:val="39"/>
    <w:rsid w:val="0026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5645"/>
    <w:rPr>
      <w:sz w:val="16"/>
      <w:szCs w:val="16"/>
    </w:rPr>
  </w:style>
  <w:style w:type="paragraph" w:styleId="CommentText">
    <w:name w:val="annotation text"/>
    <w:basedOn w:val="Normal"/>
    <w:link w:val="CommentTextChar"/>
    <w:uiPriority w:val="99"/>
    <w:unhideWhenUsed/>
    <w:rsid w:val="00265645"/>
    <w:rPr>
      <w:sz w:val="20"/>
      <w:szCs w:val="20"/>
    </w:rPr>
  </w:style>
  <w:style w:type="character" w:customStyle="1" w:styleId="CommentTextChar">
    <w:name w:val="Comment Text Char"/>
    <w:basedOn w:val="DefaultParagraphFont"/>
    <w:link w:val="CommentText"/>
    <w:uiPriority w:val="99"/>
    <w:rsid w:val="00265645"/>
    <w:rPr>
      <w:sz w:val="20"/>
      <w:szCs w:val="20"/>
    </w:rPr>
  </w:style>
  <w:style w:type="paragraph" w:styleId="CommentSubject">
    <w:name w:val="annotation subject"/>
    <w:basedOn w:val="CommentText"/>
    <w:next w:val="CommentText"/>
    <w:link w:val="CommentSubjectChar"/>
    <w:uiPriority w:val="99"/>
    <w:semiHidden/>
    <w:unhideWhenUsed/>
    <w:rsid w:val="00265645"/>
    <w:rPr>
      <w:b/>
      <w:bCs/>
    </w:rPr>
  </w:style>
  <w:style w:type="character" w:customStyle="1" w:styleId="CommentSubjectChar">
    <w:name w:val="Comment Subject Char"/>
    <w:basedOn w:val="CommentTextChar"/>
    <w:link w:val="CommentSubject"/>
    <w:uiPriority w:val="99"/>
    <w:semiHidden/>
    <w:rsid w:val="00265645"/>
    <w:rPr>
      <w:b/>
      <w:bCs/>
      <w:sz w:val="20"/>
      <w:szCs w:val="20"/>
    </w:rPr>
  </w:style>
  <w:style w:type="paragraph" w:styleId="Header">
    <w:name w:val="header"/>
    <w:basedOn w:val="Normal"/>
    <w:link w:val="HeaderChar"/>
    <w:uiPriority w:val="99"/>
    <w:unhideWhenUsed/>
    <w:rsid w:val="00295549"/>
    <w:pPr>
      <w:tabs>
        <w:tab w:val="center" w:pos="4513"/>
        <w:tab w:val="right" w:pos="9026"/>
      </w:tabs>
    </w:pPr>
  </w:style>
  <w:style w:type="character" w:customStyle="1" w:styleId="HeaderChar">
    <w:name w:val="Header Char"/>
    <w:basedOn w:val="DefaultParagraphFont"/>
    <w:link w:val="Header"/>
    <w:uiPriority w:val="99"/>
    <w:rsid w:val="00295549"/>
  </w:style>
  <w:style w:type="paragraph" w:styleId="Footer">
    <w:name w:val="footer"/>
    <w:basedOn w:val="Normal"/>
    <w:link w:val="FooterChar"/>
    <w:uiPriority w:val="99"/>
    <w:unhideWhenUsed/>
    <w:rsid w:val="00295549"/>
    <w:pPr>
      <w:tabs>
        <w:tab w:val="center" w:pos="4513"/>
        <w:tab w:val="right" w:pos="9026"/>
      </w:tabs>
    </w:pPr>
  </w:style>
  <w:style w:type="character" w:customStyle="1" w:styleId="FooterChar">
    <w:name w:val="Footer Char"/>
    <w:basedOn w:val="DefaultParagraphFont"/>
    <w:link w:val="Footer"/>
    <w:uiPriority w:val="99"/>
    <w:rsid w:val="00295549"/>
  </w:style>
  <w:style w:type="character" w:styleId="FollowedHyperlink">
    <w:name w:val="FollowedHyperlink"/>
    <w:basedOn w:val="DefaultParagraphFont"/>
    <w:uiPriority w:val="99"/>
    <w:semiHidden/>
    <w:unhideWhenUsed/>
    <w:rsid w:val="003E3E75"/>
    <w:rPr>
      <w:color w:val="954F72" w:themeColor="followedHyperlink"/>
      <w:u w:val="single"/>
    </w:rPr>
  </w:style>
  <w:style w:type="character" w:customStyle="1" w:styleId="Heading4Char">
    <w:name w:val="Heading 4 Char"/>
    <w:basedOn w:val="DefaultParagraphFont"/>
    <w:link w:val="Heading4"/>
    <w:uiPriority w:val="9"/>
    <w:semiHidden/>
    <w:rsid w:val="000D4D3A"/>
    <w:rPr>
      <w:rFonts w:asciiTheme="majorHAnsi" w:eastAsiaTheme="majorEastAsia" w:hAnsiTheme="majorHAnsi" w:cstheme="majorBidi"/>
      <w:i/>
      <w:iCs/>
      <w:color w:val="2F5496" w:themeColor="accent1" w:themeShade="BF"/>
      <w:sz w:val="24"/>
    </w:rPr>
  </w:style>
  <w:style w:type="paragraph" w:styleId="ListParagraph">
    <w:name w:val="List Paragraph"/>
    <w:basedOn w:val="Normal"/>
    <w:uiPriority w:val="34"/>
    <w:qFormat/>
    <w:rsid w:val="00586DC8"/>
    <w:pPr>
      <w:ind w:left="720"/>
      <w:contextualSpacing/>
    </w:pPr>
  </w:style>
  <w:style w:type="paragraph" w:styleId="Revision">
    <w:name w:val="Revision"/>
    <w:hidden/>
    <w:uiPriority w:val="99"/>
    <w:semiHidden/>
    <w:rsid w:val="00F626D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971">
      <w:bodyDiv w:val="1"/>
      <w:marLeft w:val="0"/>
      <w:marRight w:val="0"/>
      <w:marTop w:val="0"/>
      <w:marBottom w:val="0"/>
      <w:divBdr>
        <w:top w:val="none" w:sz="0" w:space="0" w:color="auto"/>
        <w:left w:val="none" w:sz="0" w:space="0" w:color="auto"/>
        <w:bottom w:val="none" w:sz="0" w:space="0" w:color="auto"/>
        <w:right w:val="none" w:sz="0" w:space="0" w:color="auto"/>
      </w:divBdr>
    </w:div>
    <w:div w:id="50345521">
      <w:bodyDiv w:val="1"/>
      <w:marLeft w:val="0"/>
      <w:marRight w:val="0"/>
      <w:marTop w:val="0"/>
      <w:marBottom w:val="0"/>
      <w:divBdr>
        <w:top w:val="none" w:sz="0" w:space="0" w:color="auto"/>
        <w:left w:val="none" w:sz="0" w:space="0" w:color="auto"/>
        <w:bottom w:val="none" w:sz="0" w:space="0" w:color="auto"/>
        <w:right w:val="none" w:sz="0" w:space="0" w:color="auto"/>
      </w:divBdr>
    </w:div>
    <w:div w:id="57947782">
      <w:bodyDiv w:val="1"/>
      <w:marLeft w:val="0"/>
      <w:marRight w:val="0"/>
      <w:marTop w:val="0"/>
      <w:marBottom w:val="0"/>
      <w:divBdr>
        <w:top w:val="none" w:sz="0" w:space="0" w:color="auto"/>
        <w:left w:val="none" w:sz="0" w:space="0" w:color="auto"/>
        <w:bottom w:val="none" w:sz="0" w:space="0" w:color="auto"/>
        <w:right w:val="none" w:sz="0" w:space="0" w:color="auto"/>
      </w:divBdr>
    </w:div>
    <w:div w:id="372077843">
      <w:bodyDiv w:val="1"/>
      <w:marLeft w:val="0"/>
      <w:marRight w:val="0"/>
      <w:marTop w:val="0"/>
      <w:marBottom w:val="0"/>
      <w:divBdr>
        <w:top w:val="none" w:sz="0" w:space="0" w:color="auto"/>
        <w:left w:val="none" w:sz="0" w:space="0" w:color="auto"/>
        <w:bottom w:val="none" w:sz="0" w:space="0" w:color="auto"/>
        <w:right w:val="none" w:sz="0" w:space="0" w:color="auto"/>
      </w:divBdr>
    </w:div>
    <w:div w:id="708263034">
      <w:bodyDiv w:val="1"/>
      <w:marLeft w:val="0"/>
      <w:marRight w:val="0"/>
      <w:marTop w:val="0"/>
      <w:marBottom w:val="0"/>
      <w:divBdr>
        <w:top w:val="none" w:sz="0" w:space="0" w:color="auto"/>
        <w:left w:val="none" w:sz="0" w:space="0" w:color="auto"/>
        <w:bottom w:val="none" w:sz="0" w:space="0" w:color="auto"/>
        <w:right w:val="none" w:sz="0" w:space="0" w:color="auto"/>
      </w:divBdr>
    </w:div>
    <w:div w:id="712004339">
      <w:bodyDiv w:val="1"/>
      <w:marLeft w:val="0"/>
      <w:marRight w:val="0"/>
      <w:marTop w:val="0"/>
      <w:marBottom w:val="0"/>
      <w:divBdr>
        <w:top w:val="none" w:sz="0" w:space="0" w:color="auto"/>
        <w:left w:val="none" w:sz="0" w:space="0" w:color="auto"/>
        <w:bottom w:val="none" w:sz="0" w:space="0" w:color="auto"/>
        <w:right w:val="none" w:sz="0" w:space="0" w:color="auto"/>
      </w:divBdr>
    </w:div>
    <w:div w:id="746077906">
      <w:bodyDiv w:val="1"/>
      <w:marLeft w:val="0"/>
      <w:marRight w:val="0"/>
      <w:marTop w:val="0"/>
      <w:marBottom w:val="0"/>
      <w:divBdr>
        <w:top w:val="none" w:sz="0" w:space="0" w:color="auto"/>
        <w:left w:val="none" w:sz="0" w:space="0" w:color="auto"/>
        <w:bottom w:val="none" w:sz="0" w:space="0" w:color="auto"/>
        <w:right w:val="none" w:sz="0" w:space="0" w:color="auto"/>
      </w:divBdr>
    </w:div>
    <w:div w:id="1017581086">
      <w:bodyDiv w:val="1"/>
      <w:marLeft w:val="0"/>
      <w:marRight w:val="0"/>
      <w:marTop w:val="0"/>
      <w:marBottom w:val="0"/>
      <w:divBdr>
        <w:top w:val="none" w:sz="0" w:space="0" w:color="auto"/>
        <w:left w:val="none" w:sz="0" w:space="0" w:color="auto"/>
        <w:bottom w:val="none" w:sz="0" w:space="0" w:color="auto"/>
        <w:right w:val="none" w:sz="0" w:space="0" w:color="auto"/>
      </w:divBdr>
    </w:div>
    <w:div w:id="1068650785">
      <w:bodyDiv w:val="1"/>
      <w:marLeft w:val="0"/>
      <w:marRight w:val="0"/>
      <w:marTop w:val="0"/>
      <w:marBottom w:val="0"/>
      <w:divBdr>
        <w:top w:val="none" w:sz="0" w:space="0" w:color="auto"/>
        <w:left w:val="none" w:sz="0" w:space="0" w:color="auto"/>
        <w:bottom w:val="none" w:sz="0" w:space="0" w:color="auto"/>
        <w:right w:val="none" w:sz="0" w:space="0" w:color="auto"/>
      </w:divBdr>
    </w:div>
    <w:div w:id="1403334526">
      <w:bodyDiv w:val="1"/>
      <w:marLeft w:val="0"/>
      <w:marRight w:val="0"/>
      <w:marTop w:val="0"/>
      <w:marBottom w:val="0"/>
      <w:divBdr>
        <w:top w:val="none" w:sz="0" w:space="0" w:color="auto"/>
        <w:left w:val="none" w:sz="0" w:space="0" w:color="auto"/>
        <w:bottom w:val="none" w:sz="0" w:space="0" w:color="auto"/>
        <w:right w:val="none" w:sz="0" w:space="0" w:color="auto"/>
      </w:divBdr>
    </w:div>
    <w:div w:id="1638104011">
      <w:bodyDiv w:val="1"/>
      <w:marLeft w:val="0"/>
      <w:marRight w:val="0"/>
      <w:marTop w:val="0"/>
      <w:marBottom w:val="0"/>
      <w:divBdr>
        <w:top w:val="none" w:sz="0" w:space="0" w:color="auto"/>
        <w:left w:val="none" w:sz="0" w:space="0" w:color="auto"/>
        <w:bottom w:val="none" w:sz="0" w:space="0" w:color="auto"/>
        <w:right w:val="none" w:sz="0" w:space="0" w:color="auto"/>
      </w:divBdr>
    </w:div>
    <w:div w:id="18741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nationally-significant-infrastructure-projects-advice-on-the-preparation-and-submission-of-application-docu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08/29/cont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FAE706EDC29B42A815FC66D245F9C4" ma:contentTypeVersion="4" ma:contentTypeDescription="Create a new document." ma:contentTypeScope="" ma:versionID="92f9b33013009e43ac58fa4b701ff87c">
  <xsd:schema xmlns:xsd="http://www.w3.org/2001/XMLSchema" xmlns:xs="http://www.w3.org/2001/XMLSchema" xmlns:p="http://schemas.microsoft.com/office/2006/metadata/properties" xmlns:ns2="1bfa2d17-b896-406c-b9a0-023c93a89e51" targetNamespace="http://schemas.microsoft.com/office/2006/metadata/properties" ma:root="true" ma:fieldsID="fab9fcdb37953459b13ed425e25877ed" ns2:_="">
    <xsd:import namespace="1bfa2d17-b896-406c-b9a0-023c93a89e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a2d17-b896-406c-b9a0-023c93a89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AC0B7-8607-4730-B1C7-3CF10638C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E56A93-4B5C-45FF-8258-82D79CB0A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a2d17-b896-406c-b9a0-023c93a89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25CB1-2A8B-4AF1-B39E-E24C2B861571}">
  <ds:schemaRefs>
    <ds:schemaRef ds:uri="http://schemas.microsoft.com/sharepoint/v3/contenttype/forms"/>
  </ds:schemaRefs>
</ds:datastoreItem>
</file>

<file path=customXml/itemProps4.xml><?xml version="1.0" encoding="utf-8"?>
<ds:datastoreItem xmlns:ds="http://schemas.openxmlformats.org/officeDocument/2006/customXml" ds:itemID="{DEA51D9A-4C0D-46A1-A0F1-6DC005C0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1187</Words>
  <Characters>6766</Characters>
  <Application>Microsoft Office Word</Application>
  <DocSecurity>2</DocSecurity>
  <Lines>56</Lines>
  <Paragraphs>15</Paragraphs>
  <ScaleCrop>false</ScaleCrop>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PA10 - Pre-application s51 Advice Log template</dc:title>
  <dc:subject/>
  <dc:creator>Davies, Harri</dc:creator>
  <cp:keywords/>
  <dc:description/>
  <cp:lastModifiedBy>Davies, Harri</cp:lastModifiedBy>
  <cp:revision>2</cp:revision>
  <dcterms:created xsi:type="dcterms:W3CDTF">2025-10-28T14:42:00Z</dcterms:created>
  <dcterms:modified xsi:type="dcterms:W3CDTF">2025-10-28T14:42:00Z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0x0101002AFAE706EDC29B42A815FC66D245F9C4</vt:lpwstr>
  </property>
</Properties>
</file>